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2A7E30">
        <w:rPr>
          <w:rFonts w:ascii="Arial" w:hAnsi="Arial" w:cs="Arial"/>
        </w:rPr>
        <w:t xml:space="preserve"> </w:t>
      </w:r>
      <w:r w:rsidRPr="00D27771">
        <w:rPr>
          <w:rFonts w:ascii="Arial" w:hAnsi="Arial" w:cs="Arial"/>
        </w:rPr>
        <w:t>Eliáš Jiří</w:t>
      </w:r>
      <w:r w:rsidRPr="00D27771">
        <w:rPr>
          <w:rFonts w:ascii="Arial" w:hAnsi="Arial" w:cs="Arial"/>
        </w:rPr>
        <w:tab/>
      </w:r>
      <w:r w:rsidR="006365C4">
        <w:rPr>
          <w:rFonts w:ascii="Arial" w:hAnsi="Arial" w:cs="Arial"/>
        </w:rPr>
        <w:t>1944</w:t>
      </w:r>
      <w:r w:rsidRPr="00D27771">
        <w:rPr>
          <w:rFonts w:ascii="Arial" w:hAnsi="Arial" w:cs="Arial"/>
        </w:rPr>
        <w:t>, Praha 1 Nové Město 11000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18PR19/80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Stará Boleslav, obec Brandýs nad Labem-Stará Boleslav.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2215/19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753 m2</w:t>
      </w:r>
      <w:r w:rsidRPr="00835624">
        <w:rPr>
          <w:rFonts w:ascii="Arial" w:hAnsi="Arial" w:cs="Arial"/>
          <w:sz w:val="18"/>
        </w:rPr>
        <w:tab/>
        <w:t xml:space="preserve">4 251,00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w:t>
      </w:r>
      <w:proofErr w:type="spellStart"/>
      <w:r w:rsidRPr="00835624">
        <w:rPr>
          <w:rFonts w:ascii="Arial" w:hAnsi="Arial" w:cs="Arial"/>
          <w:sz w:val="18"/>
        </w:rPr>
        <w:t>Mstětice</w:t>
      </w:r>
      <w:proofErr w:type="spellEnd"/>
      <w:r w:rsidRPr="00835624">
        <w:rPr>
          <w:rFonts w:ascii="Arial" w:hAnsi="Arial" w:cs="Arial"/>
          <w:sz w:val="18"/>
        </w:rPr>
        <w:t>, obec Zeleneč.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73/27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2 409 m2</w:t>
      </w:r>
      <w:r w:rsidRPr="00835624">
        <w:rPr>
          <w:rFonts w:ascii="Arial" w:hAnsi="Arial" w:cs="Arial"/>
          <w:sz w:val="18"/>
        </w:rPr>
        <w:tab/>
        <w:t xml:space="preserve">16 415,00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3 162 m2 </w:t>
      </w:r>
      <w:r w:rsidRPr="00835624">
        <w:rPr>
          <w:rFonts w:ascii="Arial" w:hAnsi="Arial" w:cs="Arial"/>
          <w:sz w:val="18"/>
        </w:rPr>
        <w:tab/>
        <w:t>20 666,00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 94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Mstětice</w:t>
      </w:r>
      <w:proofErr w:type="spellEnd"/>
      <w:r w:rsidRPr="00D27771">
        <w:rPr>
          <w:rFonts w:ascii="Arial" w:hAnsi="Arial" w:cs="Arial"/>
        </w:rPr>
        <w:t xml:space="preserve"> a knihovní vložky č. 219 v </w:t>
      </w:r>
      <w:proofErr w:type="spellStart"/>
      <w:r w:rsidRPr="00D27771">
        <w:rPr>
          <w:rFonts w:ascii="Arial" w:hAnsi="Arial" w:cs="Arial"/>
        </w:rPr>
        <w:t>k.ú</w:t>
      </w:r>
      <w:proofErr w:type="spellEnd"/>
      <w:r w:rsidRPr="00D27771">
        <w:rPr>
          <w:rFonts w:ascii="Arial" w:hAnsi="Arial" w:cs="Arial"/>
        </w:rPr>
        <w:t xml:space="preserve"> Stará Boleslav.</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nelze vydat pozemky nebo jejich části v katastrálním území Střížkov,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Z</w:t>
      </w:r>
      <w:proofErr w:type="gramEnd"/>
      <w:r w:rsidRPr="00D27771">
        <w:rPr>
          <w:rFonts w:ascii="Arial" w:hAnsi="Arial" w:cs="Arial"/>
        </w:rPr>
        <w:t xml:space="preserve"> toho bude touto smlouvou vypořádáno </w:t>
      </w:r>
    </w:p>
    <w:p w:rsidR="00AD4CDE" w:rsidRPr="00D27771" w:rsidRDefault="00AD4CDE">
      <w:pPr>
        <w:widowControl/>
        <w:rPr>
          <w:rFonts w:ascii="Arial" w:hAnsi="Arial" w:cs="Arial"/>
        </w:rPr>
      </w:pPr>
    </w:p>
    <w:p w:rsidR="00AD4CDE" w:rsidRDefault="00AD4CDE">
      <w:pPr>
        <w:pStyle w:val="para"/>
        <w:rPr>
          <w:rFonts w:ascii="Arial" w:hAnsi="Arial" w:cs="Arial"/>
          <w:sz w:val="20"/>
          <w:szCs w:val="20"/>
        </w:rPr>
      </w:pPr>
    </w:p>
    <w:p w:rsidR="002A7E30" w:rsidRPr="00D27771" w:rsidRDefault="002A7E30">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w:t>
      </w:r>
      <w:proofErr w:type="spellStart"/>
      <w:r w:rsidRPr="00D27771">
        <w:rPr>
          <w:rFonts w:ascii="Arial" w:hAnsi="Arial" w:cs="Arial"/>
        </w:rPr>
        <w:t>Mstětice</w:t>
      </w:r>
      <w:proofErr w:type="spellEnd"/>
      <w:r w:rsidRPr="00D27771">
        <w:rPr>
          <w:rFonts w:ascii="Arial" w:hAnsi="Arial" w:cs="Arial"/>
        </w:rPr>
        <w:t xml:space="preserve"> - 73/27,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w:t>
      </w:r>
      <w:proofErr w:type="spellStart"/>
      <w:r w:rsidRPr="00D27771">
        <w:rPr>
          <w:rFonts w:ascii="Arial" w:hAnsi="Arial" w:cs="Arial"/>
        </w:rPr>
        <w:t>Mstětice</w:t>
      </w:r>
      <w:proofErr w:type="spellEnd"/>
      <w:r w:rsidRPr="00D27771">
        <w:rPr>
          <w:rFonts w:ascii="Arial" w:hAnsi="Arial" w:cs="Arial"/>
        </w:rPr>
        <w:t xml:space="preserve"> - 73/27,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jakožto nájemcem. S obsahem nájemní smlouvy byl nabyvatel seznámen před podpisem této smlouvy, což stvrzuje svým podpisem.</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2A7E30" w:rsidRDefault="002A7E30">
      <w:pPr>
        <w:pStyle w:val="adresa"/>
        <w:widowControl/>
        <w:rPr>
          <w:rFonts w:ascii="Arial" w:hAnsi="Arial" w:cs="Arial"/>
          <w:color w:val="000000"/>
          <w:sz w:val="20"/>
          <w:szCs w:val="20"/>
        </w:rPr>
      </w:pPr>
    </w:p>
    <w:p w:rsidR="002A7E30" w:rsidRPr="00D27771" w:rsidRDefault="002A7E30">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B81732">
        <w:rPr>
          <w:rFonts w:ascii="Arial" w:hAnsi="Arial" w:cs="Arial"/>
          <w:color w:val="000000"/>
          <w:sz w:val="20"/>
          <w:szCs w:val="20"/>
        </w:rPr>
        <w:t xml:space="preserve"> </w:t>
      </w:r>
      <w:bookmarkStart w:id="0" w:name="_GoBack"/>
      <w:bookmarkEnd w:id="0"/>
      <w:r w:rsidR="00B81732">
        <w:rPr>
          <w:rFonts w:ascii="Arial" w:hAnsi="Arial" w:cs="Arial"/>
          <w:color w:val="000000"/>
          <w:sz w:val="20"/>
          <w:szCs w:val="20"/>
        </w:rPr>
        <w:t>Praze dne 14.11.2019</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2A7E30" w:rsidRDefault="002A7E30">
      <w:pPr>
        <w:pStyle w:val="adresa"/>
        <w:widowControl/>
        <w:tabs>
          <w:tab w:val="clear" w:pos="3402"/>
          <w:tab w:val="clear" w:pos="6237"/>
        </w:tabs>
        <w:rPr>
          <w:rFonts w:ascii="Arial" w:hAnsi="Arial" w:cs="Arial"/>
          <w:color w:val="000000"/>
          <w:sz w:val="20"/>
          <w:szCs w:val="20"/>
        </w:rPr>
      </w:pPr>
    </w:p>
    <w:p w:rsidR="002A7E30" w:rsidRDefault="002A7E30">
      <w:pPr>
        <w:pStyle w:val="adresa"/>
        <w:widowControl/>
        <w:tabs>
          <w:tab w:val="clear" w:pos="3402"/>
          <w:tab w:val="clear" w:pos="6237"/>
        </w:tabs>
        <w:rPr>
          <w:rFonts w:ascii="Arial" w:hAnsi="Arial" w:cs="Arial"/>
          <w:color w:val="000000"/>
          <w:sz w:val="20"/>
          <w:szCs w:val="20"/>
        </w:rPr>
      </w:pPr>
    </w:p>
    <w:p w:rsidR="002A7E30" w:rsidRDefault="002A7E30">
      <w:pPr>
        <w:pStyle w:val="adresa"/>
        <w:widowControl/>
        <w:tabs>
          <w:tab w:val="clear" w:pos="3402"/>
          <w:tab w:val="clear" w:pos="6237"/>
        </w:tabs>
        <w:rPr>
          <w:rFonts w:ascii="Arial" w:hAnsi="Arial" w:cs="Arial"/>
          <w:color w:val="000000"/>
          <w:sz w:val="20"/>
          <w:szCs w:val="20"/>
        </w:rPr>
      </w:pPr>
    </w:p>
    <w:p w:rsidR="002A7E30" w:rsidRPr="00D27771" w:rsidRDefault="002A7E3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A7E30">
        <w:rPr>
          <w:rFonts w:ascii="Arial" w:hAnsi="Arial" w:cs="Arial"/>
          <w:color w:val="000000"/>
          <w:sz w:val="20"/>
          <w:szCs w:val="20"/>
        </w:rPr>
        <w:t xml:space="preserve">                     </w:t>
      </w:r>
      <w:r w:rsidR="002A7E30" w:rsidRPr="002A7E30">
        <w:rPr>
          <w:rFonts w:ascii="Arial" w:hAnsi="Arial" w:cs="Arial"/>
          <w:color w:val="000000"/>
          <w:sz w:val="20"/>
          <w:szCs w:val="20"/>
        </w:rPr>
        <w:t>Eliáš Jiří</w:t>
      </w:r>
    </w:p>
    <w:p w:rsidR="002A7E3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2A7E3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2A7E30" w:rsidRDefault="002A7E30" w:rsidP="0000799B">
      <w:pPr>
        <w:pStyle w:val="adresa"/>
        <w:widowControl/>
        <w:tabs>
          <w:tab w:val="clear" w:pos="3402"/>
          <w:tab w:val="clear" w:pos="6237"/>
          <w:tab w:val="left" w:pos="4961"/>
        </w:tabs>
        <w:rPr>
          <w:rFonts w:ascii="Arial" w:hAnsi="Arial" w:cs="Arial"/>
          <w:color w:val="000000"/>
          <w:sz w:val="20"/>
          <w:szCs w:val="20"/>
        </w:rPr>
      </w:pPr>
    </w:p>
    <w:p w:rsidR="002A7E30" w:rsidRDefault="002A7E3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2A7E30" w:rsidRPr="002A7E30">
        <w:rPr>
          <w:rFonts w:ascii="Arial" w:hAnsi="Arial" w:cs="Arial"/>
          <w:color w:val="000000"/>
          <w:sz w:val="20"/>
          <w:szCs w:val="20"/>
        </w:rPr>
        <w:t>.......................……….....................................</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2A7E30" w:rsidRDefault="002A7E30" w:rsidP="0000799B">
      <w:pPr>
        <w:pStyle w:val="adresa"/>
        <w:widowControl/>
        <w:tabs>
          <w:tab w:val="clear" w:pos="3402"/>
          <w:tab w:val="clear" w:pos="6237"/>
          <w:tab w:val="left" w:pos="4961"/>
        </w:tabs>
        <w:rPr>
          <w:rFonts w:ascii="Arial" w:hAnsi="Arial" w:cs="Arial"/>
          <w:color w:val="000000"/>
          <w:sz w:val="20"/>
          <w:szCs w:val="20"/>
        </w:rPr>
      </w:pPr>
      <w:r w:rsidRPr="002A7E30">
        <w:rPr>
          <w:rFonts w:ascii="Arial" w:hAnsi="Arial" w:cs="Arial"/>
          <w:color w:val="000000"/>
          <w:sz w:val="20"/>
          <w:szCs w:val="20"/>
        </w:rPr>
        <w:t>Vedoucí oddělení převodu majetku státu a restitucí</w:t>
      </w:r>
      <w:r w:rsidR="00F86F31" w:rsidRPr="00D27771">
        <w:rPr>
          <w:rFonts w:ascii="Arial" w:hAnsi="Arial" w:cs="Arial"/>
          <w:color w:val="000000"/>
          <w:sz w:val="20"/>
          <w:szCs w:val="20"/>
        </w:rPr>
        <w:t xml:space="preserve"> </w:t>
      </w:r>
    </w:p>
    <w:p w:rsidR="002A7E3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 pro</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13202, 13934,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30.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E30" w:rsidRDefault="002A7E30" w:rsidP="002A7E30">
      <w:r>
        <w:separator/>
      </w:r>
    </w:p>
  </w:endnote>
  <w:endnote w:type="continuationSeparator" w:id="0">
    <w:p w:rsidR="002A7E30" w:rsidRDefault="002A7E30" w:rsidP="002A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30" w:rsidRDefault="002A7E30">
    <w:pPr>
      <w:pStyle w:val="Zpat"/>
      <w:jc w:val="center"/>
    </w:pPr>
    <w:r>
      <w:fldChar w:fldCharType="begin"/>
    </w:r>
    <w:r>
      <w:instrText>PAGE   \* MERGEFORMAT</w:instrText>
    </w:r>
    <w:r>
      <w:fldChar w:fldCharType="separate"/>
    </w:r>
    <w:r>
      <w:t>2</w:t>
    </w:r>
    <w:r>
      <w:fldChar w:fldCharType="end"/>
    </w:r>
    <w:r>
      <w:t xml:space="preserve"> (celkem ze 4)</w:t>
    </w:r>
  </w:p>
  <w:p w:rsidR="002A7E30" w:rsidRDefault="002A7E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E30" w:rsidRDefault="002A7E30" w:rsidP="002A7E30">
      <w:r>
        <w:separator/>
      </w:r>
    </w:p>
  </w:footnote>
  <w:footnote w:type="continuationSeparator" w:id="0">
    <w:p w:rsidR="002A7E30" w:rsidRDefault="002A7E30" w:rsidP="002A7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A7E30"/>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365C4"/>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81732"/>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7E8F9"/>
  <w14:defaultImageDpi w14:val="0"/>
  <w15:docId w15:val="{A6F047C5-9DAE-424E-BEE6-8BAC6EB6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609721">
      <w:marLeft w:val="0"/>
      <w:marRight w:val="0"/>
      <w:marTop w:val="0"/>
      <w:marBottom w:val="0"/>
      <w:divBdr>
        <w:top w:val="none" w:sz="0" w:space="0" w:color="auto"/>
        <w:left w:val="none" w:sz="0" w:space="0" w:color="auto"/>
        <w:bottom w:val="none" w:sz="0" w:space="0" w:color="auto"/>
        <w:right w:val="none" w:sz="0" w:space="0" w:color="auto"/>
      </w:divBdr>
    </w:div>
    <w:div w:id="1298609722">
      <w:marLeft w:val="0"/>
      <w:marRight w:val="0"/>
      <w:marTop w:val="0"/>
      <w:marBottom w:val="0"/>
      <w:divBdr>
        <w:top w:val="none" w:sz="0" w:space="0" w:color="auto"/>
        <w:left w:val="none" w:sz="0" w:space="0" w:color="auto"/>
        <w:bottom w:val="none" w:sz="0" w:space="0" w:color="auto"/>
        <w:right w:val="none" w:sz="0" w:space="0" w:color="auto"/>
      </w:divBdr>
    </w:div>
    <w:div w:id="187518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4EE3-8DA1-4968-9A2C-AF2CDF2B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1204</Words>
  <Characters>7293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3</cp:revision>
  <cp:lastPrinted>2002-01-25T14:18:00Z</cp:lastPrinted>
  <dcterms:created xsi:type="dcterms:W3CDTF">2019-10-30T08:26:00Z</dcterms:created>
  <dcterms:modified xsi:type="dcterms:W3CDTF">2019-11-14T11:31:00Z</dcterms:modified>
</cp:coreProperties>
</file>