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2219" w:right="2394" w:firstLine="0"/>
        <w:jc w:val="center"/>
        <w:rPr>
          <w:b/>
          <w:sz w:val="28"/>
        </w:rPr>
      </w:pPr>
      <w:r>
        <w:rPr>
          <w:b/>
          <w:sz w:val="28"/>
        </w:rPr>
        <w:t>Obchodní podmínky</w:t>
      </w:r>
    </w:p>
    <w:p>
      <w:pPr>
        <w:pStyle w:val="BodyText"/>
        <w:spacing w:before="81"/>
        <w:ind w:left="4691" w:firstLine="0"/>
      </w:pPr>
      <w:r>
        <w:rPr/>
        <w:t>obchodní společnosti</w:t>
      </w:r>
    </w:p>
    <w:p>
      <w:pPr>
        <w:pStyle w:val="Heading1"/>
        <w:spacing w:before="107"/>
        <w:ind w:left="2310" w:right="2382" w:firstLine="0"/>
        <w:jc w:val="center"/>
      </w:pPr>
      <w:r>
        <w:rPr/>
        <w:t>MetroZoom s.r.o., IČO: 08291501</w:t>
      </w:r>
    </w:p>
    <w:p>
      <w:pPr>
        <w:pStyle w:val="BodyText"/>
        <w:spacing w:before="42"/>
        <w:ind w:left="2309" w:right="2394" w:firstLine="0"/>
        <w:jc w:val="center"/>
      </w:pPr>
      <w:r>
        <w:rPr/>
        <w:t>se sídlem Praha 4, Na strži 2097/63, PSČ 140 00</w:t>
      </w:r>
    </w:p>
    <w:p>
      <w:pPr>
        <w:pStyle w:val="BodyText"/>
        <w:spacing w:line="331" w:lineRule="auto" w:before="55"/>
        <w:ind w:left="2310" w:right="2394" w:firstLine="0"/>
        <w:jc w:val="center"/>
      </w:pPr>
      <w:r>
        <w:rPr/>
        <w:t>zápis do OR Městským soudem v Praze pod spisovou značkou - oddíl C, vložka 316425 (dále také jen "OP")</w:t>
      </w:r>
    </w:p>
    <w:p>
      <w:pPr>
        <w:pStyle w:val="Heading1"/>
        <w:numPr>
          <w:ilvl w:val="0"/>
          <w:numId w:val="1"/>
        </w:numPr>
        <w:tabs>
          <w:tab w:pos="266" w:val="left" w:leader="none"/>
        </w:tabs>
        <w:spacing w:line="240" w:lineRule="auto" w:before="172" w:after="0"/>
        <w:ind w:left="265" w:right="0" w:hanging="151"/>
        <w:jc w:val="left"/>
      </w:pPr>
      <w:r>
        <w:rPr>
          <w:u w:val="single"/>
        </w:rPr>
        <w:t>Úvodní</w:t>
      </w:r>
      <w:r>
        <w:rPr>
          <w:spacing w:val="-6"/>
          <w:u w:val="single"/>
        </w:rPr>
        <w:t> </w:t>
      </w:r>
      <w:r>
        <w:rPr>
          <w:u w:val="single"/>
        </w:rPr>
        <w:t>ustanovení</w:t>
      </w:r>
    </w:p>
    <w:p>
      <w:pPr>
        <w:pStyle w:val="ListParagraph"/>
        <w:numPr>
          <w:ilvl w:val="1"/>
          <w:numId w:val="2"/>
        </w:numPr>
        <w:tabs>
          <w:tab w:pos="580" w:val="left" w:leader="none"/>
        </w:tabs>
        <w:spacing w:line="276" w:lineRule="auto" w:before="58" w:after="0"/>
        <w:ind w:left="580" w:right="179" w:hanging="435"/>
        <w:jc w:val="left"/>
        <w:rPr>
          <w:sz w:val="16"/>
        </w:rPr>
      </w:pPr>
      <w:r>
        <w:rPr>
          <w:sz w:val="16"/>
        </w:rPr>
        <w:t>Tyto obchodní podmínky společnosti MetroZoom s.r.o. upravují podmínky pro poskytování služeb spočívajících v přenechání předem smluvených reklamních ploch objednateli do užívání a služeb souvisejících s tímto užíváním /např. zajištění dopravy reklamních materiálů na dohodnuté místo, provedení vlastního umístění (instalace) reklamních materiálů, reklamních spotů, inzerce, apod., pořízení fotodokumentace o provedeném umístění (instalaci), udržování a opravy reklamních panelů a porušených reklamních materiálů po dobu reklamní kampaně,</w:t>
      </w:r>
      <w:r>
        <w:rPr>
          <w:spacing w:val="-18"/>
          <w:sz w:val="16"/>
        </w:rPr>
        <w:t> </w:t>
      </w:r>
      <w:r>
        <w:rPr>
          <w:sz w:val="16"/>
        </w:rPr>
        <w:t>apod./.</w:t>
      </w:r>
    </w:p>
    <w:p>
      <w:pPr>
        <w:pStyle w:val="ListParagraph"/>
        <w:numPr>
          <w:ilvl w:val="1"/>
          <w:numId w:val="2"/>
        </w:numPr>
        <w:tabs>
          <w:tab w:pos="581" w:val="left" w:leader="none"/>
        </w:tabs>
        <w:spacing w:line="276" w:lineRule="auto" w:before="9" w:after="0"/>
        <w:ind w:left="580" w:right="145" w:hanging="435"/>
        <w:jc w:val="left"/>
        <w:rPr>
          <w:sz w:val="16"/>
        </w:rPr>
      </w:pPr>
      <w:r>
        <w:rPr>
          <w:sz w:val="16"/>
        </w:rPr>
        <w:t>Obchodní podmínky jsou nedílnou součástí reklamní smlouvy specifikované v čl. III. odst. 3.1. OP, není-li v reklamní smlouvě stanoveno jinak. Pokud bude v reklamní smlouvě odlišné ustanovení od těchto obchodních podmínek, platí ustanovení reklamní smlouvy před těmito obchodními podmínkami.</w:t>
      </w:r>
    </w:p>
    <w:p>
      <w:pPr>
        <w:pStyle w:val="ListParagraph"/>
        <w:numPr>
          <w:ilvl w:val="1"/>
          <w:numId w:val="2"/>
        </w:numPr>
        <w:tabs>
          <w:tab w:pos="581" w:val="left" w:leader="none"/>
        </w:tabs>
        <w:spacing w:line="240" w:lineRule="auto" w:before="26" w:after="0"/>
        <w:ind w:left="580" w:right="0" w:hanging="435"/>
        <w:jc w:val="left"/>
        <w:rPr>
          <w:sz w:val="16"/>
        </w:rPr>
      </w:pPr>
      <w:r>
        <w:rPr>
          <w:sz w:val="16"/>
        </w:rPr>
        <w:t>Tyto obchodní podmínky vstupují v platnost dne</w:t>
      </w:r>
      <w:r>
        <w:rPr>
          <w:spacing w:val="-10"/>
          <w:sz w:val="16"/>
        </w:rPr>
        <w:t> </w:t>
      </w:r>
      <w:r>
        <w:rPr>
          <w:sz w:val="16"/>
        </w:rPr>
        <w:t>10.09.2019.</w:t>
      </w:r>
    </w:p>
    <w:p>
      <w:pPr>
        <w:pStyle w:val="Heading1"/>
        <w:numPr>
          <w:ilvl w:val="0"/>
          <w:numId w:val="1"/>
        </w:numPr>
        <w:tabs>
          <w:tab w:pos="316" w:val="left" w:leader="none"/>
        </w:tabs>
        <w:spacing w:line="240" w:lineRule="auto" w:before="135" w:after="0"/>
        <w:ind w:left="315" w:right="0" w:hanging="201"/>
        <w:jc w:val="left"/>
      </w:pPr>
      <w:r>
        <w:rPr>
          <w:u w:val="single"/>
        </w:rPr>
        <w:t>Výklad</w:t>
      </w:r>
      <w:r>
        <w:rPr>
          <w:spacing w:val="-9"/>
          <w:u w:val="single"/>
        </w:rPr>
        <w:t> </w:t>
      </w:r>
      <w:r>
        <w:rPr>
          <w:u w:val="single"/>
        </w:rPr>
        <w:t>pojmů</w:t>
      </w:r>
    </w:p>
    <w:p>
      <w:pPr>
        <w:pStyle w:val="ListParagraph"/>
        <w:numPr>
          <w:ilvl w:val="1"/>
          <w:numId w:val="3"/>
        </w:numPr>
        <w:tabs>
          <w:tab w:pos="580" w:val="left" w:leader="none"/>
        </w:tabs>
        <w:spacing w:line="276" w:lineRule="auto" w:before="58" w:after="0"/>
        <w:ind w:left="580" w:right="227" w:hanging="435"/>
        <w:jc w:val="left"/>
        <w:rPr>
          <w:sz w:val="16"/>
        </w:rPr>
      </w:pPr>
      <w:r>
        <w:rPr>
          <w:sz w:val="16"/>
        </w:rPr>
        <w:t>Dodavatel je právnická osoba, založená a podnikající podle českých právních předpisů, jejímž hlavním předmětem činnosti je reklamní činnost. Tato činnost spočívá mimo jiné v provozování nosičů venkovní reklamy – reklamních panelů, resp. poskytování reklamních ploch, které jsou součástí těchto reklamních panelů, jakož i jiných reklamních nosičů či reklamního prostoru, ať již přímo či zprostředkovaně pro reklamu klientů, popř. „promoreklamu“</w:t>
      </w:r>
      <w:r>
        <w:rPr>
          <w:spacing w:val="-3"/>
          <w:sz w:val="16"/>
        </w:rPr>
        <w:t> </w:t>
      </w:r>
      <w:r>
        <w:rPr>
          <w:sz w:val="16"/>
        </w:rPr>
        <w:t>vlastní.</w:t>
      </w:r>
    </w:p>
    <w:p>
      <w:pPr>
        <w:pStyle w:val="ListParagraph"/>
        <w:numPr>
          <w:ilvl w:val="1"/>
          <w:numId w:val="3"/>
        </w:numPr>
        <w:tabs>
          <w:tab w:pos="580" w:val="left" w:leader="none"/>
        </w:tabs>
        <w:spacing w:line="295" w:lineRule="auto" w:before="9" w:after="0"/>
        <w:ind w:left="580" w:right="261" w:hanging="435"/>
        <w:jc w:val="left"/>
        <w:rPr>
          <w:sz w:val="16"/>
        </w:rPr>
      </w:pPr>
      <w:r>
        <w:rPr>
          <w:sz w:val="16"/>
        </w:rPr>
        <w:t>Objednatel je právnická osoba, podnikající fyzická osoba, případně fyzická osoba spotřebitel, která má zájem objednat si od dodavatele služby uvedené v čl. I. odst. 1.1.OP, a která bude užívat reklamní plochy pouze pro promoreklamu vlastní, není-li v reklamní smlouvě sjednáno</w:t>
      </w:r>
      <w:r>
        <w:rPr>
          <w:spacing w:val="-8"/>
          <w:sz w:val="16"/>
        </w:rPr>
        <w:t> </w:t>
      </w:r>
      <w:r>
        <w:rPr>
          <w:sz w:val="16"/>
        </w:rPr>
        <w:t>jinak.</w:t>
      </w:r>
    </w:p>
    <w:p>
      <w:pPr>
        <w:pStyle w:val="ListParagraph"/>
        <w:numPr>
          <w:ilvl w:val="1"/>
          <w:numId w:val="3"/>
        </w:numPr>
        <w:tabs>
          <w:tab w:pos="581" w:val="left" w:leader="none"/>
        </w:tabs>
        <w:spacing w:line="168" w:lineRule="exact" w:before="0" w:after="0"/>
        <w:ind w:left="580" w:right="0" w:hanging="435"/>
        <w:jc w:val="left"/>
        <w:rPr>
          <w:sz w:val="16"/>
        </w:rPr>
      </w:pPr>
      <w:r>
        <w:rPr>
          <w:sz w:val="16"/>
        </w:rPr>
        <w:t>Reklama je jakékoliv sdělení objednatele umístěné po dohodě s dodavatelem na reklamní ploše obchodované dodavatelem na</w:t>
      </w:r>
      <w:r>
        <w:rPr>
          <w:spacing w:val="-8"/>
          <w:sz w:val="16"/>
        </w:rPr>
        <w:t> </w:t>
      </w:r>
      <w:r>
        <w:rPr>
          <w:sz w:val="16"/>
        </w:rPr>
        <w:t>reklamních</w:t>
      </w:r>
    </w:p>
    <w:p>
      <w:pPr>
        <w:pStyle w:val="BodyText"/>
        <w:spacing w:before="42"/>
        <w:ind w:firstLine="0"/>
      </w:pPr>
      <w:r>
        <w:rPr/>
        <w:t>panelech, apod.</w:t>
      </w:r>
    </w:p>
    <w:p>
      <w:pPr>
        <w:pStyle w:val="ListParagraph"/>
        <w:numPr>
          <w:ilvl w:val="1"/>
          <w:numId w:val="3"/>
        </w:numPr>
        <w:tabs>
          <w:tab w:pos="581" w:val="left" w:leader="none"/>
        </w:tabs>
        <w:spacing w:line="295" w:lineRule="auto" w:before="24" w:after="0"/>
        <w:ind w:left="580" w:right="264" w:hanging="435"/>
        <w:jc w:val="left"/>
        <w:rPr>
          <w:sz w:val="16"/>
        </w:rPr>
      </w:pPr>
      <w:r>
        <w:rPr>
          <w:sz w:val="16"/>
        </w:rPr>
        <w:t>Reklamním panelem se rozumí reklamní zařízení, které slouží k umístění reklamy. Aktuální seznam reklamních panelů a jejich typů je veden u dodavatele.</w:t>
      </w:r>
    </w:p>
    <w:p>
      <w:pPr>
        <w:pStyle w:val="ListParagraph"/>
        <w:numPr>
          <w:ilvl w:val="1"/>
          <w:numId w:val="3"/>
        </w:numPr>
        <w:tabs>
          <w:tab w:pos="581" w:val="left" w:leader="none"/>
        </w:tabs>
        <w:spacing w:line="240" w:lineRule="auto" w:before="0" w:after="0"/>
        <w:ind w:left="580" w:right="0" w:hanging="435"/>
        <w:jc w:val="left"/>
        <w:rPr>
          <w:sz w:val="16"/>
        </w:rPr>
      </w:pPr>
      <w:r>
        <w:rPr>
          <w:sz w:val="16"/>
        </w:rPr>
        <w:t>Reklamní plocha označuje část reklamního panelu, na které je instalován reklamní materiál s motivem</w:t>
      </w:r>
      <w:r>
        <w:rPr>
          <w:spacing w:val="8"/>
          <w:sz w:val="16"/>
        </w:rPr>
        <w:t> </w:t>
      </w:r>
      <w:r>
        <w:rPr>
          <w:sz w:val="16"/>
        </w:rPr>
        <w:t>reklamy.</w:t>
      </w:r>
    </w:p>
    <w:p>
      <w:pPr>
        <w:pStyle w:val="ListParagraph"/>
        <w:numPr>
          <w:ilvl w:val="1"/>
          <w:numId w:val="3"/>
        </w:numPr>
        <w:tabs>
          <w:tab w:pos="581" w:val="left" w:leader="none"/>
        </w:tabs>
        <w:spacing w:line="295" w:lineRule="auto" w:before="56" w:after="0"/>
        <w:ind w:left="580" w:right="186" w:hanging="435"/>
        <w:jc w:val="both"/>
        <w:rPr>
          <w:sz w:val="16"/>
        </w:rPr>
      </w:pPr>
      <w:r>
        <w:rPr>
          <w:sz w:val="16"/>
        </w:rPr>
        <w:t>Reklamní materiál je libovolný reklamní prostředek, který je možno běžně používanými způsoby instalovat na reklamní plochu konkrétního typu reklamního panelu, nevyplývá-li z předmětného ustanovení smlouvy jinak. Zejména se jedná o papírové plakáty, atd. Reklamním materiálem se pro účely těchto obchodních podmínek rovněž rozumí materiál pro inovativní řešení a jiné nadstandardní kreativní a technické</w:t>
      </w:r>
      <w:r>
        <w:rPr>
          <w:spacing w:val="-29"/>
          <w:sz w:val="16"/>
        </w:rPr>
        <w:t> </w:t>
      </w:r>
      <w:r>
        <w:rPr>
          <w:sz w:val="16"/>
        </w:rPr>
        <w:t>řešení.</w:t>
      </w:r>
    </w:p>
    <w:p>
      <w:pPr>
        <w:pStyle w:val="ListParagraph"/>
        <w:numPr>
          <w:ilvl w:val="1"/>
          <w:numId w:val="3"/>
        </w:numPr>
        <w:tabs>
          <w:tab w:pos="581" w:val="left" w:leader="none"/>
        </w:tabs>
        <w:spacing w:line="168" w:lineRule="exact" w:before="0" w:after="0"/>
        <w:ind w:left="580" w:right="0" w:hanging="435"/>
        <w:jc w:val="left"/>
        <w:rPr>
          <w:sz w:val="16"/>
        </w:rPr>
      </w:pPr>
      <w:r>
        <w:rPr>
          <w:sz w:val="16"/>
        </w:rPr>
        <w:t>Instalací, umístěním, se rozumí umístění reklamního materiálu na reklamní plochu reklamního panelu odpovídající formou (v případě</w:t>
      </w:r>
      <w:r>
        <w:rPr>
          <w:spacing w:val="-21"/>
          <w:sz w:val="16"/>
        </w:rPr>
        <w:t> </w:t>
      </w:r>
      <w:r>
        <w:rPr>
          <w:sz w:val="16"/>
        </w:rPr>
        <w:t>papírového</w:t>
      </w:r>
    </w:p>
    <w:p>
      <w:pPr>
        <w:pStyle w:val="BodyText"/>
        <w:spacing w:before="41"/>
        <w:ind w:firstLine="0"/>
      </w:pPr>
      <w:r>
        <w:rPr/>
        <w:t>plakátu vylepením). Instalace reklamních materiálů včetně inovativních řešení je zajišťována výhradně dodavatelem.</w:t>
      </w:r>
    </w:p>
    <w:p>
      <w:pPr>
        <w:pStyle w:val="ListParagraph"/>
        <w:numPr>
          <w:ilvl w:val="1"/>
          <w:numId w:val="3"/>
        </w:numPr>
        <w:tabs>
          <w:tab w:pos="581" w:val="left" w:leader="none"/>
        </w:tabs>
        <w:spacing w:line="295" w:lineRule="auto" w:before="38" w:after="0"/>
        <w:ind w:left="580" w:right="299" w:hanging="435"/>
        <w:jc w:val="left"/>
        <w:rPr>
          <w:sz w:val="16"/>
        </w:rPr>
      </w:pPr>
      <w:r>
        <w:rPr>
          <w:sz w:val="16"/>
        </w:rPr>
        <w:t>Reklamní kampaní se rozumí poskytnutí vybraných reklamních ploch objednateli dodavatelem pro realizaci reklamy objednatele na sjednanou dobu v souladu s uzavřenou smlouvou. Objednateli však nevzniká vlastnické ani jiné právo k samotné reklamní</w:t>
      </w:r>
      <w:r>
        <w:rPr>
          <w:spacing w:val="-6"/>
          <w:sz w:val="16"/>
        </w:rPr>
        <w:t> </w:t>
      </w:r>
      <w:r>
        <w:rPr>
          <w:sz w:val="16"/>
        </w:rPr>
        <w:t>ploše.</w:t>
      </w:r>
    </w:p>
    <w:p>
      <w:pPr>
        <w:pStyle w:val="ListParagraph"/>
        <w:numPr>
          <w:ilvl w:val="1"/>
          <w:numId w:val="3"/>
        </w:numPr>
        <w:tabs>
          <w:tab w:pos="581" w:val="left" w:leader="none"/>
        </w:tabs>
        <w:spacing w:line="170" w:lineRule="exact" w:before="0" w:after="0"/>
        <w:ind w:left="580" w:right="0" w:hanging="434"/>
        <w:jc w:val="left"/>
        <w:rPr>
          <w:sz w:val="16"/>
        </w:rPr>
      </w:pPr>
      <w:r>
        <w:rPr>
          <w:sz w:val="16"/>
        </w:rPr>
        <w:t>Základní doba reklamní kampaně činí 14 po sobě jdoucích dní v intervalech od 01. do 15. dne kalendářního měsíce a od 16. do 30.</w:t>
      </w:r>
      <w:r>
        <w:rPr>
          <w:spacing w:val="-10"/>
          <w:sz w:val="16"/>
        </w:rPr>
        <w:t> </w:t>
      </w:r>
      <w:r>
        <w:rPr>
          <w:sz w:val="16"/>
        </w:rPr>
        <w:t>dne</w:t>
      </w:r>
    </w:p>
    <w:p>
      <w:pPr>
        <w:pStyle w:val="BodyText"/>
        <w:spacing w:line="295" w:lineRule="auto" w:before="42"/>
        <w:ind w:right="138" w:firstLine="0"/>
      </w:pPr>
      <w:r>
        <w:rPr/>
        <w:t>kalendářního měsíce, resp. 28. dne v měsíci únor. Objednatel bere na vědomí a výslovně s tím souhlasí, že reklamní materiály objednatele budou na příslušné reklamní plochy instalovány v průběhu ujednané doby reklamní kampaně, a to zejména tak, aby byly zachovány lhůty uvedené v čl. V. těchto obchodních podmínek.</w:t>
      </w:r>
    </w:p>
    <w:p>
      <w:pPr>
        <w:pStyle w:val="Heading1"/>
        <w:numPr>
          <w:ilvl w:val="0"/>
          <w:numId w:val="1"/>
        </w:numPr>
        <w:tabs>
          <w:tab w:pos="367" w:val="left" w:leader="none"/>
        </w:tabs>
        <w:spacing w:line="240" w:lineRule="auto" w:before="92" w:after="0"/>
        <w:ind w:left="366" w:right="0" w:hanging="252"/>
        <w:jc w:val="left"/>
      </w:pPr>
      <w:r>
        <w:rPr>
          <w:u w:val="single"/>
        </w:rPr>
        <w:t>Reklamní</w:t>
      </w:r>
      <w:r>
        <w:rPr>
          <w:spacing w:val="-4"/>
          <w:u w:val="single"/>
        </w:rPr>
        <w:t> </w:t>
      </w:r>
      <w:r>
        <w:rPr>
          <w:u w:val="single"/>
        </w:rPr>
        <w:t>smlouva</w:t>
      </w:r>
    </w:p>
    <w:p>
      <w:pPr>
        <w:pStyle w:val="ListParagraph"/>
        <w:numPr>
          <w:ilvl w:val="1"/>
          <w:numId w:val="4"/>
        </w:numPr>
        <w:tabs>
          <w:tab w:pos="580" w:val="left" w:leader="none"/>
        </w:tabs>
        <w:spacing w:line="276" w:lineRule="auto" w:before="59" w:after="0"/>
        <w:ind w:left="580" w:right="265" w:hanging="435"/>
        <w:jc w:val="left"/>
        <w:rPr>
          <w:sz w:val="16"/>
        </w:rPr>
      </w:pPr>
      <w:r>
        <w:rPr>
          <w:sz w:val="16"/>
        </w:rPr>
        <w:t>Reklamní kampaň, na základě které dodavatel poskytuje objednateli reklamní plochy k instalaci reklamních materiálů objednatele včetně souvisejících služeb, je realizována na základě smlouvy o poskytování obchodních a mediálních služeb, objednávek nebo rámcové smlouvy s uplatňováním průběžných dílčích objednávek (společně dále také jen „smlouva“ nebo „reklamní smlouva“). Smlouvy jsou uzavřené v souladu s těmito obchodními podmínkami a § 1746 odst. 2 zákona č. 89/2012 Sb., občanský zákoník, v platném</w:t>
      </w:r>
      <w:r>
        <w:rPr>
          <w:spacing w:val="3"/>
          <w:sz w:val="16"/>
        </w:rPr>
        <w:t> </w:t>
      </w:r>
      <w:r>
        <w:rPr>
          <w:sz w:val="16"/>
        </w:rPr>
        <w:t>znění.</w:t>
      </w:r>
    </w:p>
    <w:p>
      <w:pPr>
        <w:pStyle w:val="ListParagraph"/>
        <w:numPr>
          <w:ilvl w:val="1"/>
          <w:numId w:val="4"/>
        </w:numPr>
        <w:tabs>
          <w:tab w:pos="581" w:val="left" w:leader="none"/>
        </w:tabs>
        <w:spacing w:line="276" w:lineRule="auto" w:before="24" w:after="0"/>
        <w:ind w:left="580" w:right="469" w:hanging="435"/>
        <w:jc w:val="left"/>
        <w:rPr>
          <w:sz w:val="16"/>
        </w:rPr>
      </w:pPr>
      <w:r>
        <w:rPr>
          <w:sz w:val="16"/>
        </w:rPr>
        <w:t>Návrh na uzavření smlouvy uplatňuje objednatel u dodavatele. Návrh musí obsahovat zejména identifikaci smluvních stran; specifikaci vybraných reklamních panelů a reklamních ploch, o které má objednatel zájem, jejich přesné umístění; datum zahájení a skončení reklamní kampaně; smluvenou odměnu. Realizován bude pouze návrh, který bude dodavatelem</w:t>
      </w:r>
      <w:r>
        <w:rPr>
          <w:spacing w:val="-12"/>
          <w:sz w:val="16"/>
        </w:rPr>
        <w:t> </w:t>
      </w:r>
      <w:r>
        <w:rPr>
          <w:sz w:val="16"/>
        </w:rPr>
        <w:t>odsouhlasen.</w:t>
      </w:r>
    </w:p>
    <w:p>
      <w:pPr>
        <w:pStyle w:val="ListParagraph"/>
        <w:numPr>
          <w:ilvl w:val="1"/>
          <w:numId w:val="4"/>
        </w:numPr>
        <w:tabs>
          <w:tab w:pos="581" w:val="left" w:leader="none"/>
        </w:tabs>
        <w:spacing w:line="276" w:lineRule="auto" w:before="12" w:after="0"/>
        <w:ind w:left="580" w:right="440" w:hanging="435"/>
        <w:jc w:val="left"/>
        <w:rPr>
          <w:sz w:val="16"/>
        </w:rPr>
      </w:pPr>
      <w:r>
        <w:rPr>
          <w:sz w:val="16"/>
        </w:rPr>
        <w:t>Smlouva je uzavřena jejím podepsáním poslední ze smluvních stran a jejím doručením druhé smluvní straně, nebo prvním dnem umístění reklamy objednatele na reklamní plochu v případě, že dodavateli byla doručena objednatelem podepsaná smlouva ve znění odsouhlaseném smluvními stranami nebo pokud byl obsah smlouvy odsouhlasen pověřenou osobou</w:t>
      </w:r>
      <w:r>
        <w:rPr>
          <w:spacing w:val="-11"/>
          <w:sz w:val="16"/>
        </w:rPr>
        <w:t> </w:t>
      </w:r>
      <w:r>
        <w:rPr>
          <w:sz w:val="16"/>
        </w:rPr>
        <w:t>objednatele.</w:t>
      </w:r>
    </w:p>
    <w:p>
      <w:pPr>
        <w:pStyle w:val="ListParagraph"/>
        <w:numPr>
          <w:ilvl w:val="1"/>
          <w:numId w:val="4"/>
        </w:numPr>
        <w:tabs>
          <w:tab w:pos="581" w:val="left" w:leader="none"/>
        </w:tabs>
        <w:spacing w:line="240" w:lineRule="auto" w:before="12" w:after="0"/>
        <w:ind w:left="580" w:right="0" w:hanging="435"/>
        <w:jc w:val="left"/>
        <w:rPr>
          <w:sz w:val="16"/>
        </w:rPr>
      </w:pPr>
      <w:r>
        <w:rPr>
          <w:sz w:val="16"/>
        </w:rPr>
        <w:t>Smlouva objednatele je dodavatelem archivována a není přístupná třetím</w:t>
      </w:r>
      <w:r>
        <w:rPr>
          <w:spacing w:val="-14"/>
          <w:sz w:val="16"/>
        </w:rPr>
        <w:t> </w:t>
      </w:r>
      <w:r>
        <w:rPr>
          <w:sz w:val="16"/>
        </w:rPr>
        <w:t>osobám.</w:t>
      </w:r>
    </w:p>
    <w:p>
      <w:pPr>
        <w:pStyle w:val="ListParagraph"/>
        <w:numPr>
          <w:ilvl w:val="1"/>
          <w:numId w:val="4"/>
        </w:numPr>
        <w:tabs>
          <w:tab w:pos="581" w:val="left" w:leader="none"/>
        </w:tabs>
        <w:spacing w:line="276" w:lineRule="auto" w:before="70" w:after="0"/>
        <w:ind w:left="580" w:right="201" w:hanging="434"/>
        <w:jc w:val="left"/>
        <w:rPr>
          <w:sz w:val="16"/>
        </w:rPr>
      </w:pPr>
      <w:r>
        <w:rPr>
          <w:sz w:val="16"/>
        </w:rPr>
        <w:t>Objednatel bere na vědomí, že počet reklamních ploch se sjednává na základě odhadu disponibilních reklamních ploch. Objednatel bere na vědomí, že odchylky počtu sjednaných reklamních ploch jsou přípustné v toleranci 10% a takovéto plnění je považováno za plnění v souladu se smlouvou.</w:t>
      </w:r>
    </w:p>
    <w:p>
      <w:pPr>
        <w:pStyle w:val="Heading1"/>
        <w:numPr>
          <w:ilvl w:val="0"/>
          <w:numId w:val="1"/>
        </w:numPr>
        <w:tabs>
          <w:tab w:pos="386" w:val="left" w:leader="none"/>
        </w:tabs>
        <w:spacing w:line="240" w:lineRule="auto" w:before="106" w:after="0"/>
        <w:ind w:left="385" w:right="0" w:hanging="271"/>
        <w:jc w:val="left"/>
      </w:pPr>
      <w:r>
        <w:rPr>
          <w:u w:val="single"/>
        </w:rPr>
        <w:t>Zrušení objednávky</w:t>
      </w:r>
      <w:r>
        <w:rPr>
          <w:spacing w:val="-15"/>
          <w:u w:val="single"/>
        </w:rPr>
        <w:t> </w:t>
      </w:r>
      <w:r>
        <w:rPr>
          <w:u w:val="single"/>
        </w:rPr>
        <w:t>(storno)</w:t>
      </w:r>
    </w:p>
    <w:p>
      <w:pPr>
        <w:pStyle w:val="ListParagraph"/>
        <w:numPr>
          <w:ilvl w:val="1"/>
          <w:numId w:val="5"/>
        </w:numPr>
        <w:tabs>
          <w:tab w:pos="580" w:val="left" w:leader="none"/>
        </w:tabs>
        <w:spacing w:line="295" w:lineRule="auto" w:before="58" w:after="0"/>
        <w:ind w:left="580" w:right="454" w:hanging="435"/>
        <w:jc w:val="left"/>
        <w:rPr>
          <w:sz w:val="16"/>
        </w:rPr>
      </w:pPr>
      <w:r>
        <w:rPr>
          <w:sz w:val="16"/>
        </w:rPr>
        <w:t>Objednatel je oprávněn před započetím poskytování služeb dodavatelem smlouvu, případně dílčí objednávku, písemně /i prostřednictvím ve smlouvě uvedeného emailu/ vypovědět (zrušit) za následujících</w:t>
      </w:r>
      <w:r>
        <w:rPr>
          <w:spacing w:val="-14"/>
          <w:sz w:val="16"/>
        </w:rPr>
        <w:t> </w:t>
      </w:r>
      <w:r>
        <w:rPr>
          <w:sz w:val="16"/>
        </w:rPr>
        <w:t>podmínek:</w:t>
      </w:r>
    </w:p>
    <w:p>
      <w:pPr>
        <w:pStyle w:val="ListParagraph"/>
        <w:numPr>
          <w:ilvl w:val="2"/>
          <w:numId w:val="5"/>
        </w:numPr>
        <w:tabs>
          <w:tab w:pos="895" w:val="left" w:leader="none"/>
        </w:tabs>
        <w:spacing w:line="167" w:lineRule="exact" w:before="0" w:after="0"/>
        <w:ind w:left="894" w:right="0" w:hanging="314"/>
        <w:jc w:val="left"/>
        <w:rPr>
          <w:sz w:val="16"/>
        </w:rPr>
      </w:pPr>
      <w:r>
        <w:rPr>
          <w:sz w:val="16"/>
        </w:rPr>
        <w:t>v případě, že ke zrušení smlouvy/ dílčí objednávky ze strany objednatele dojde v období do 91. dne včetně před ve</w:t>
      </w:r>
      <w:r>
        <w:rPr>
          <w:spacing w:val="-28"/>
          <w:sz w:val="16"/>
        </w:rPr>
        <w:t> </w:t>
      </w:r>
      <w:r>
        <w:rPr>
          <w:sz w:val="16"/>
        </w:rPr>
        <w:t>smlouvě/dílčí</w:t>
      </w:r>
    </w:p>
    <w:p>
      <w:pPr>
        <w:pStyle w:val="BodyText"/>
        <w:spacing w:line="276" w:lineRule="auto" w:before="27"/>
        <w:ind w:left="894" w:right="138" w:firstLine="0"/>
      </w:pPr>
      <w:r>
        <w:rPr/>
        <w:t>objednávce sjednaným dnem zahájení reklamní kampaně, nemusí objednatel za toto zrušení platit dodavateli žádný poplatek ani jinou sankci;</w:t>
      </w:r>
    </w:p>
    <w:p>
      <w:pPr>
        <w:pStyle w:val="ListParagraph"/>
        <w:numPr>
          <w:ilvl w:val="2"/>
          <w:numId w:val="5"/>
        </w:numPr>
        <w:tabs>
          <w:tab w:pos="895" w:val="left" w:leader="none"/>
        </w:tabs>
        <w:spacing w:line="276" w:lineRule="auto" w:before="26" w:after="0"/>
        <w:ind w:left="894" w:right="113" w:hanging="314"/>
        <w:jc w:val="left"/>
        <w:rPr>
          <w:sz w:val="16"/>
        </w:rPr>
      </w:pPr>
      <w:r>
        <w:rPr>
          <w:sz w:val="16"/>
        </w:rPr>
        <w:t>v případě, že ke zrušení smlouvy/ dílčí objednávky ze strany objednatele dojde v období od 90. do 61. dne včetně před ve smlouvě/dílčí objednávce sjednaným dnem zahájení reklamní kampaně, zavazuje se objednatel zaplatit dodavateli tzv. stornovací poplatek ve výši 25 % z celkové dohodnuté odměny za užívání stornovaných reklamních</w:t>
      </w:r>
      <w:r>
        <w:rPr>
          <w:spacing w:val="-16"/>
          <w:sz w:val="16"/>
        </w:rPr>
        <w:t> </w:t>
      </w:r>
      <w:r>
        <w:rPr>
          <w:sz w:val="16"/>
        </w:rPr>
        <w:t>ploch;</w:t>
      </w:r>
    </w:p>
    <w:p>
      <w:pPr>
        <w:pStyle w:val="ListParagraph"/>
        <w:numPr>
          <w:ilvl w:val="2"/>
          <w:numId w:val="5"/>
        </w:numPr>
        <w:tabs>
          <w:tab w:pos="895" w:val="left" w:leader="none"/>
        </w:tabs>
        <w:spacing w:line="276" w:lineRule="auto" w:before="26" w:after="0"/>
        <w:ind w:left="894" w:right="252" w:hanging="314"/>
        <w:jc w:val="left"/>
        <w:rPr>
          <w:sz w:val="16"/>
        </w:rPr>
      </w:pPr>
      <w:r>
        <w:rPr>
          <w:sz w:val="16"/>
        </w:rPr>
        <w:t>v případě, že ke zrušení smlouvy/ dílčí objednávky ze strany objednatele dojde od 60. do 31. dne včetně před ve smlouvě/dílčí objednávce sjednaným dnem zahájení reklamní kampaně, zavazuje se objednatel zaplatit dodavateli tzv. stornovací poplatek, a to ve výši 50 % z celkové dohodnuté odměny za užívání stornovaných reklamních</w:t>
      </w:r>
      <w:r>
        <w:rPr>
          <w:spacing w:val="-16"/>
          <w:sz w:val="16"/>
        </w:rPr>
        <w:t> </w:t>
      </w:r>
      <w:r>
        <w:rPr>
          <w:sz w:val="16"/>
        </w:rPr>
        <w:t>ploch;</w:t>
      </w:r>
    </w:p>
    <w:p>
      <w:pPr>
        <w:pStyle w:val="ListParagraph"/>
        <w:numPr>
          <w:ilvl w:val="2"/>
          <w:numId w:val="5"/>
        </w:numPr>
        <w:tabs>
          <w:tab w:pos="895" w:val="left" w:leader="none"/>
        </w:tabs>
        <w:spacing w:line="276" w:lineRule="auto" w:before="26" w:after="0"/>
        <w:ind w:left="894" w:right="276" w:hanging="314"/>
        <w:jc w:val="left"/>
        <w:rPr>
          <w:sz w:val="16"/>
        </w:rPr>
      </w:pPr>
      <w:r>
        <w:rPr>
          <w:sz w:val="16"/>
        </w:rPr>
        <w:t>v případě, že ke zrušení smlouvy/ dílčí objednávky ze strany objednatele dojde v období od 30. dne včetně do sjednaného dne zahájení reklamní kampaně, zavazuje se objednatel zaplatit dodavateli tzv. stornovací poplatek, a to ve výši 100% z celkové dohodnuté odměny za užívání stornovaných reklamních</w:t>
      </w:r>
      <w:r>
        <w:rPr>
          <w:spacing w:val="-11"/>
          <w:sz w:val="16"/>
        </w:rPr>
        <w:t> </w:t>
      </w:r>
      <w:r>
        <w:rPr>
          <w:sz w:val="16"/>
        </w:rPr>
        <w:t>ploch.</w:t>
      </w:r>
    </w:p>
    <w:p>
      <w:pPr>
        <w:pStyle w:val="BodyText"/>
        <w:spacing w:before="26"/>
        <w:ind w:firstLine="0"/>
      </w:pPr>
      <w:r>
        <w:rPr/>
        <w:t>Oprávnění zrušit smlouvu/ dílčí objednávku objednatelem se nevztahuje na smlouvy/ dílčí objednávky v případě, jedná-li se o barterové plnění.</w:t>
      </w:r>
    </w:p>
    <w:p>
      <w:pPr>
        <w:spacing w:after="0"/>
        <w:sectPr>
          <w:footerReference w:type="default" r:id="rId5"/>
          <w:type w:val="continuous"/>
          <w:pgSz w:w="11900" w:h="16840"/>
          <w:pgMar w:footer="94" w:top="120" w:bottom="280" w:left="140" w:right="780"/>
        </w:sectPr>
      </w:pPr>
    </w:p>
    <w:p>
      <w:pPr>
        <w:pStyle w:val="ListParagraph"/>
        <w:numPr>
          <w:ilvl w:val="1"/>
          <w:numId w:val="5"/>
        </w:numPr>
        <w:tabs>
          <w:tab w:pos="580" w:val="left" w:leader="none"/>
        </w:tabs>
        <w:spacing w:line="276" w:lineRule="auto" w:before="82" w:after="0"/>
        <w:ind w:left="580" w:right="649" w:hanging="435"/>
        <w:jc w:val="both"/>
        <w:rPr>
          <w:sz w:val="16"/>
        </w:rPr>
      </w:pPr>
      <w:r>
        <w:rPr>
          <w:sz w:val="16"/>
        </w:rPr>
        <w:t>Dodavateli nárok na stornovací poplatky nevznikne pouze v případě, že objednatel obstará pro dodavatele jiného objednatele, který bude reklamní plochy užívat za stejných nebo výhodnějších podmínek pro dodavatele a dodavatel vysloví s tímto jiným objednatelem písemný souhlas.</w:t>
      </w:r>
    </w:p>
    <w:p>
      <w:pPr>
        <w:pStyle w:val="ListParagraph"/>
        <w:numPr>
          <w:ilvl w:val="1"/>
          <w:numId w:val="5"/>
        </w:numPr>
        <w:tabs>
          <w:tab w:pos="580" w:val="left" w:leader="none"/>
        </w:tabs>
        <w:spacing w:line="276" w:lineRule="auto" w:before="26" w:after="0"/>
        <w:ind w:left="580" w:right="399" w:hanging="435"/>
        <w:jc w:val="left"/>
        <w:rPr>
          <w:sz w:val="16"/>
        </w:rPr>
      </w:pPr>
      <w:r>
        <w:rPr>
          <w:sz w:val="16"/>
        </w:rPr>
        <w:t>Byl-li ve zrušené smlouvě/ dílčí objednávce dle odst. 4.1. OP sjednán závazek dodavatele vyrobit pro objednatele reklamní materiály, zaplatí objednatel dodavateli kromě stornovacího poplatku v příslušné výši i cenu mezi nimi smluvenou za výrobu reklamních materiálů, zadal-li je dodavatel již k výrobě, včetně nákladů</w:t>
      </w:r>
      <w:r>
        <w:rPr>
          <w:spacing w:val="-9"/>
          <w:sz w:val="16"/>
        </w:rPr>
        <w:t> </w:t>
      </w:r>
      <w:r>
        <w:rPr>
          <w:sz w:val="16"/>
        </w:rPr>
        <w:t>souvisejících.</w:t>
      </w:r>
    </w:p>
    <w:p>
      <w:pPr>
        <w:pStyle w:val="BodyText"/>
        <w:ind w:left="0" w:firstLine="0"/>
        <w:rPr>
          <w:sz w:val="11"/>
        </w:rPr>
      </w:pPr>
    </w:p>
    <w:p>
      <w:pPr>
        <w:pStyle w:val="Heading1"/>
        <w:numPr>
          <w:ilvl w:val="0"/>
          <w:numId w:val="1"/>
        </w:numPr>
        <w:tabs>
          <w:tab w:pos="336" w:val="left" w:leader="none"/>
        </w:tabs>
        <w:spacing w:line="240" w:lineRule="auto" w:before="100" w:after="0"/>
        <w:ind w:left="335" w:right="0" w:hanging="221"/>
        <w:jc w:val="left"/>
      </w:pPr>
      <w:r>
        <w:rPr>
          <w:u w:val="single"/>
        </w:rPr>
        <w:t>Dodání reklamních materiálů, reklamních spotů, inzerce, grafických</w:t>
      </w:r>
      <w:r>
        <w:rPr>
          <w:spacing w:val="-18"/>
          <w:u w:val="single"/>
        </w:rPr>
        <w:t> </w:t>
      </w:r>
      <w:r>
        <w:rPr>
          <w:u w:val="single"/>
        </w:rPr>
        <w:t>podkladů</w:t>
      </w:r>
    </w:p>
    <w:p>
      <w:pPr>
        <w:pStyle w:val="ListParagraph"/>
        <w:numPr>
          <w:ilvl w:val="1"/>
          <w:numId w:val="6"/>
        </w:numPr>
        <w:tabs>
          <w:tab w:pos="580" w:val="left" w:leader="none"/>
        </w:tabs>
        <w:spacing w:line="276" w:lineRule="auto" w:before="56" w:after="0"/>
        <w:ind w:left="580" w:right="259" w:hanging="435"/>
        <w:jc w:val="left"/>
        <w:rPr>
          <w:sz w:val="16"/>
        </w:rPr>
      </w:pPr>
      <w:r>
        <w:rPr>
          <w:sz w:val="16"/>
        </w:rPr>
        <w:t>Objednatel umožní dodavateli včasnou instalaci reklamních materiálů na reklamní plochy jejich dodávkou v potřebném počtu a kvalitě na dohodnuté místo nejpozději 7 pracovních dnů před plánovanou instalací reklamních materiálů. Objednatel zašle vždy před začátkem kampaně náhled reklamy. Zajišťuje-li výrobu reklamních materiálů pro objednatele dodavatel, dodá objednatel dodavateli grafické podklady pro výrobu reklamních materiálů dle technických specifikací dodavatele alespoň 10 pracovních dní před plánovanou instalací reklamních</w:t>
      </w:r>
      <w:r>
        <w:rPr>
          <w:spacing w:val="-14"/>
          <w:sz w:val="16"/>
        </w:rPr>
        <w:t> </w:t>
      </w:r>
      <w:r>
        <w:rPr>
          <w:sz w:val="16"/>
        </w:rPr>
        <w:t>materiálů.</w:t>
      </w:r>
    </w:p>
    <w:p>
      <w:pPr>
        <w:pStyle w:val="ListParagraph"/>
        <w:numPr>
          <w:ilvl w:val="1"/>
          <w:numId w:val="6"/>
        </w:numPr>
        <w:tabs>
          <w:tab w:pos="581" w:val="left" w:leader="none"/>
        </w:tabs>
        <w:spacing w:line="276" w:lineRule="auto" w:before="26" w:after="0"/>
        <w:ind w:left="580" w:right="389" w:hanging="435"/>
        <w:jc w:val="left"/>
        <w:rPr>
          <w:sz w:val="16"/>
        </w:rPr>
      </w:pPr>
      <w:r>
        <w:rPr>
          <w:sz w:val="16"/>
        </w:rPr>
        <w:t>Lhůta pro dodání reklamních materiálů nebo grafických podkladů dodavateli se počítá nejdříve ode dne uzavření smlouvy, případně ode dne zaplacení zálohy, je-li zaplacení zálohy mezi smluvními stranami sjednáno. Uzavření smlouvy v době, kdy není zachována lhůta pro včasné dodání reklamních materiálů nebo grafických podkladů, nemá vliv na délku lhůty uvedené v čl. V odst. 5.1. OP. Nedodržení lhůty dodávky reklamních materiálů nebo jejich množství nebo grafických podkladů nemůže v žádném případě změnit termín počátku reklamní kampaně a nebude ani důvodem k vyžadování prodloužení konečného termínu trvání reklamní kampaně či uplatnění jakýchkoliv sankcí směřujících vůči dodavateli ze strany</w:t>
      </w:r>
      <w:r>
        <w:rPr>
          <w:spacing w:val="-10"/>
          <w:sz w:val="16"/>
        </w:rPr>
        <w:t> </w:t>
      </w:r>
      <w:r>
        <w:rPr>
          <w:sz w:val="16"/>
        </w:rPr>
        <w:t>objednatele.</w:t>
      </w:r>
    </w:p>
    <w:p>
      <w:pPr>
        <w:pStyle w:val="ListParagraph"/>
        <w:numPr>
          <w:ilvl w:val="1"/>
          <w:numId w:val="6"/>
        </w:numPr>
        <w:tabs>
          <w:tab w:pos="581" w:val="left" w:leader="none"/>
        </w:tabs>
        <w:spacing w:line="276" w:lineRule="auto" w:before="7" w:after="0"/>
        <w:ind w:left="580" w:right="225" w:hanging="434"/>
        <w:jc w:val="left"/>
        <w:rPr>
          <w:sz w:val="16"/>
        </w:rPr>
      </w:pPr>
      <w:r>
        <w:rPr>
          <w:sz w:val="16"/>
        </w:rPr>
        <w:t>Objednatel po telefonické dohodě s pověřenou osobou dodavatele dodá reklamní materiály na adresu skladu dodavatele U Trati 3203/38a, Praha 10, Strašnice nebo na místo určené pověřenou osobou dodavatele. Grafické podklady dodá objednatel dodavateli na emailovou adresu: </w:t>
      </w:r>
      <w:hyperlink r:id="rId6">
        <w:r>
          <w:rPr>
            <w:sz w:val="16"/>
          </w:rPr>
          <w:t>podklady@metrozoom.cz,</w:t>
        </w:r>
      </w:hyperlink>
      <w:r>
        <w:rPr>
          <w:sz w:val="16"/>
        </w:rPr>
        <w:t> nebude-li ujednáno jinak. Reklamní materiály nebo grafické podklady je pro zachování lhůt potřeba dodat v provozní době: po-čt: 8:00 – 16:00, pá:</w:t>
      </w:r>
      <w:r>
        <w:rPr>
          <w:spacing w:val="-3"/>
          <w:sz w:val="16"/>
        </w:rPr>
        <w:t> </w:t>
      </w:r>
      <w:r>
        <w:rPr>
          <w:sz w:val="16"/>
        </w:rPr>
        <w:t>8:00-15:00.</w:t>
      </w:r>
    </w:p>
    <w:p>
      <w:pPr>
        <w:pStyle w:val="ListParagraph"/>
        <w:numPr>
          <w:ilvl w:val="1"/>
          <w:numId w:val="6"/>
        </w:numPr>
        <w:tabs>
          <w:tab w:pos="581" w:val="left" w:leader="none"/>
        </w:tabs>
        <w:spacing w:line="312" w:lineRule="auto" w:before="0" w:after="0"/>
        <w:ind w:left="580" w:right="173" w:hanging="434"/>
        <w:jc w:val="left"/>
        <w:rPr>
          <w:sz w:val="16"/>
        </w:rPr>
      </w:pPr>
      <w:r>
        <w:rPr>
          <w:sz w:val="16"/>
        </w:rPr>
        <w:t>Dodavatel provede instalaci reklamních materiálů na reklamní plochu nejpozději do 3 kalendářních dnů od zahájení reklamní kampaně za předpokladu, že reklamní materiály nebo grafické podklady budou dodavateli především řádně dodány v termínech uvedených v čl. V odst. 5.1. OP. V případě jejich pozdního dodání garantuje dodavatel termíny, specifikované v těchto obchodních podmínkách, posunuté o tolik dní, o kolik je objednatel s dodáním reklamních materiálů nebo grafických podkladů dodavateli v prodlení; dodavatel však vyvine maximální úsilí o zkrácení termínů v těchto případech. Dodavatel je rovněž oprávněn instalovat reklamní materiály na reklamní plochy před prvním dnem příslušné reklamní kampaně, s čímž objednatel výslovně souhlasí. Nic z daného však nebude mít žádný vliv na sjednanou odměnu a konečné datum trvání reklamní</w:t>
      </w:r>
      <w:r>
        <w:rPr>
          <w:spacing w:val="-4"/>
          <w:sz w:val="16"/>
        </w:rPr>
        <w:t> </w:t>
      </w:r>
      <w:r>
        <w:rPr>
          <w:sz w:val="16"/>
        </w:rPr>
        <w:t>kampaně.</w:t>
      </w:r>
    </w:p>
    <w:p>
      <w:pPr>
        <w:pStyle w:val="ListParagraph"/>
        <w:numPr>
          <w:ilvl w:val="1"/>
          <w:numId w:val="6"/>
        </w:numPr>
        <w:tabs>
          <w:tab w:pos="581" w:val="left" w:leader="none"/>
        </w:tabs>
        <w:spacing w:line="312" w:lineRule="auto" w:before="7" w:after="0"/>
        <w:ind w:left="580" w:right="104" w:hanging="434"/>
        <w:jc w:val="left"/>
        <w:rPr>
          <w:sz w:val="16"/>
        </w:rPr>
      </w:pPr>
      <w:r>
        <w:rPr>
          <w:sz w:val="16"/>
        </w:rPr>
        <w:t>Nedodrží-li dodavatel termín instalace reklamních materiálů, jak je uvedeno v čl. V odst. 5.4. OP, má objednatel nárok na poskytnutí slevy v alikvotní výši z odměny, odpovídající dnům, kdy byl dodavatel v prodlení s jejich instalací. Dané neplatí pro případ, kdy posun v instalaci reklamních materiálů bude způsoben mimořádnými klimatickými podmínkami nebo zásahem vyšší moci nebo z důvodu jiných skutečností dle</w:t>
      </w:r>
      <w:r>
        <w:rPr>
          <w:spacing w:val="11"/>
          <w:sz w:val="16"/>
        </w:rPr>
        <w:t> </w:t>
      </w:r>
      <w:r>
        <w:rPr>
          <w:sz w:val="16"/>
        </w:rPr>
        <w:t>čl.</w:t>
      </w:r>
    </w:p>
    <w:p>
      <w:pPr>
        <w:pStyle w:val="BodyText"/>
        <w:ind w:firstLine="0"/>
      </w:pPr>
      <w:r>
        <w:rPr/>
        <w:t>VIII. odst. 8.7. OP.</w:t>
      </w:r>
    </w:p>
    <w:p>
      <w:pPr>
        <w:pStyle w:val="ListParagraph"/>
        <w:numPr>
          <w:ilvl w:val="1"/>
          <w:numId w:val="6"/>
        </w:numPr>
        <w:tabs>
          <w:tab w:pos="581" w:val="left" w:leader="none"/>
        </w:tabs>
        <w:spacing w:line="312" w:lineRule="auto" w:before="55" w:after="0"/>
        <w:ind w:left="580" w:right="335" w:hanging="434"/>
        <w:jc w:val="left"/>
        <w:rPr>
          <w:sz w:val="16"/>
        </w:rPr>
      </w:pPr>
      <w:r>
        <w:rPr>
          <w:sz w:val="16"/>
        </w:rPr>
        <w:t>Bude-li objednatel užívat reklamní plochy po dobu více reklamních kampaní po sobě jdoucích, je oprávněn ve smlouvě požadovat, aby na jím objednané reklamní ploše byl reklamní materiál umístěn po dobu více reklamních kampaní po sobě jdoucích, aniž by byly plochy po uplynutí každé reklamní kampaně zaslepovány</w:t>
      </w:r>
      <w:r>
        <w:rPr>
          <w:spacing w:val="-12"/>
          <w:sz w:val="16"/>
        </w:rPr>
        <w:t> </w:t>
      </w:r>
      <w:r>
        <w:rPr>
          <w:sz w:val="16"/>
        </w:rPr>
        <w:t>(odstraněny).</w:t>
      </w:r>
    </w:p>
    <w:p>
      <w:pPr>
        <w:pStyle w:val="ListParagraph"/>
        <w:numPr>
          <w:ilvl w:val="1"/>
          <w:numId w:val="6"/>
        </w:numPr>
        <w:tabs>
          <w:tab w:pos="581" w:val="left" w:leader="none"/>
        </w:tabs>
        <w:spacing w:line="312" w:lineRule="auto" w:before="2" w:after="0"/>
        <w:ind w:left="580" w:right="401" w:hanging="434"/>
        <w:jc w:val="left"/>
        <w:rPr>
          <w:sz w:val="16"/>
        </w:rPr>
      </w:pPr>
      <w:r>
        <w:rPr>
          <w:sz w:val="16"/>
        </w:rPr>
        <w:t>Objednatel se zavazuje, že bude dodavateli na každou reklamní kampaň dodávat vždy větší počet kusů reklamních materiálů - alespoň 10% náhradních reklamních materiálů ze sjednaného množství, které budou dodavatelem použity k opravám na reklamních plochách, a dané množství bude neprodleně dorovnávat v případě, že budou užity i náhradní reklamní</w:t>
      </w:r>
      <w:r>
        <w:rPr>
          <w:spacing w:val="-28"/>
          <w:sz w:val="16"/>
        </w:rPr>
        <w:t> </w:t>
      </w:r>
      <w:r>
        <w:rPr>
          <w:sz w:val="16"/>
        </w:rPr>
        <w:t>materiály.</w:t>
      </w:r>
    </w:p>
    <w:p>
      <w:pPr>
        <w:pStyle w:val="ListParagraph"/>
        <w:numPr>
          <w:ilvl w:val="1"/>
          <w:numId w:val="6"/>
        </w:numPr>
        <w:tabs>
          <w:tab w:pos="581" w:val="left" w:leader="none"/>
        </w:tabs>
        <w:spacing w:line="312" w:lineRule="auto" w:before="2" w:after="0"/>
        <w:ind w:left="580" w:right="285" w:hanging="434"/>
        <w:jc w:val="left"/>
        <w:rPr>
          <w:sz w:val="16"/>
        </w:rPr>
      </w:pPr>
      <w:r>
        <w:rPr>
          <w:sz w:val="16"/>
        </w:rPr>
        <w:t>Dodavatel provede (pořídí) o instalaci reklamních materiálů průřezovou fotodokumentaci, kterou do 25 kalendářních dnů od započetí reklamní kampaně nebo ode dne dodání reklamních materiálů, byly-li objednatelem dodány po začátku reklamní kampaně, zpřístupní objednateli pod vygenerovaným heslem na svých internetových stránkách, nebo ji na vyžádání zašle objednateli v zachované lhůtě na jeho emailovou adresu. Fotodokumentace má pouze informační charakter a slouží jako podklad o provedené instalaci reklamních</w:t>
      </w:r>
      <w:r>
        <w:rPr>
          <w:spacing w:val="-7"/>
          <w:sz w:val="16"/>
        </w:rPr>
        <w:t> </w:t>
      </w:r>
      <w:r>
        <w:rPr>
          <w:sz w:val="16"/>
        </w:rPr>
        <w:t>materiálů.</w:t>
      </w:r>
    </w:p>
    <w:p>
      <w:pPr>
        <w:pStyle w:val="ListParagraph"/>
        <w:numPr>
          <w:ilvl w:val="1"/>
          <w:numId w:val="6"/>
        </w:numPr>
        <w:tabs>
          <w:tab w:pos="581" w:val="left" w:leader="none"/>
        </w:tabs>
        <w:spacing w:line="312" w:lineRule="auto" w:before="2" w:after="0"/>
        <w:ind w:left="580" w:right="111" w:hanging="434"/>
        <w:jc w:val="left"/>
        <w:rPr>
          <w:sz w:val="16"/>
        </w:rPr>
      </w:pPr>
      <w:r>
        <w:rPr>
          <w:sz w:val="16"/>
        </w:rPr>
        <w:t>Dodavatel nezajišťuje archivaci grafických podkladů, ani nezajišťuje uskladnění reklamních materiálů po skončení reklamní kampaně. Veškeré reklamní materiály budou dodavatelem do 15. dne ode dne skončení příslušné reklamní kampaně zlikvidovány, nedohodnou-li se smluvní strany ve smlouvě na jejich zpětném dodání na předem určené místo a na termínu dodání. Kromě samotné likvidace je dále dodavatel oprávněn s reklamními materiály naložit dle vlastního uvážení, přičemž tyto reklamní materiály nesmí být použity k jakémukoli veřejnému užití, a to i v případě, že se jedná o užití</w:t>
      </w:r>
      <w:r>
        <w:rPr>
          <w:spacing w:val="-12"/>
          <w:sz w:val="16"/>
        </w:rPr>
        <w:t> </w:t>
      </w:r>
      <w:r>
        <w:rPr>
          <w:sz w:val="16"/>
        </w:rPr>
        <w:t>bezplatné.</w:t>
      </w:r>
    </w:p>
    <w:p>
      <w:pPr>
        <w:pStyle w:val="ListParagraph"/>
        <w:numPr>
          <w:ilvl w:val="1"/>
          <w:numId w:val="6"/>
        </w:numPr>
        <w:tabs>
          <w:tab w:pos="581" w:val="left" w:leader="none"/>
        </w:tabs>
        <w:spacing w:line="312" w:lineRule="auto" w:before="2" w:after="0"/>
        <w:ind w:left="580" w:right="182" w:hanging="434"/>
        <w:jc w:val="left"/>
        <w:rPr>
          <w:sz w:val="16"/>
        </w:rPr>
      </w:pPr>
      <w:r>
        <w:rPr>
          <w:sz w:val="16"/>
        </w:rPr>
        <w:t>Dodavatel nezajišťuje automatickou deinstalaci reklamních ploch po skončení reklamní kampaně. Vyžaduje-li objednatel deinstalaci reklamních ploch, uvede tuto skutečnost ve</w:t>
      </w:r>
      <w:r>
        <w:rPr>
          <w:spacing w:val="2"/>
          <w:sz w:val="16"/>
        </w:rPr>
        <w:t> </w:t>
      </w:r>
      <w:r>
        <w:rPr>
          <w:sz w:val="16"/>
        </w:rPr>
        <w:t>smlouvě.</w:t>
      </w:r>
    </w:p>
    <w:p>
      <w:pPr>
        <w:pStyle w:val="BodyText"/>
        <w:spacing w:before="3"/>
        <w:ind w:left="0" w:firstLine="0"/>
        <w:rPr>
          <w:sz w:val="10"/>
        </w:rPr>
      </w:pPr>
    </w:p>
    <w:p>
      <w:pPr>
        <w:pStyle w:val="Heading1"/>
        <w:numPr>
          <w:ilvl w:val="0"/>
          <w:numId w:val="1"/>
        </w:numPr>
        <w:tabs>
          <w:tab w:pos="386" w:val="left" w:leader="none"/>
        </w:tabs>
        <w:spacing w:line="240" w:lineRule="auto" w:before="100" w:after="0"/>
        <w:ind w:left="385" w:right="0" w:hanging="271"/>
        <w:jc w:val="left"/>
      </w:pPr>
      <w:r>
        <w:rPr>
          <w:u w:val="single"/>
        </w:rPr>
        <w:t>Technické</w:t>
      </w:r>
      <w:r>
        <w:rPr>
          <w:spacing w:val="-1"/>
          <w:u w:val="single"/>
        </w:rPr>
        <w:t> </w:t>
      </w:r>
      <w:r>
        <w:rPr>
          <w:u w:val="single"/>
        </w:rPr>
        <w:t>specifikace</w:t>
      </w:r>
    </w:p>
    <w:p>
      <w:pPr>
        <w:pStyle w:val="ListParagraph"/>
        <w:numPr>
          <w:ilvl w:val="1"/>
          <w:numId w:val="7"/>
        </w:numPr>
        <w:tabs>
          <w:tab w:pos="580" w:val="left" w:leader="none"/>
        </w:tabs>
        <w:spacing w:line="295" w:lineRule="auto" w:before="56" w:after="0"/>
        <w:ind w:left="580" w:right="653" w:hanging="435"/>
        <w:jc w:val="left"/>
        <w:rPr>
          <w:sz w:val="16"/>
        </w:rPr>
      </w:pPr>
      <w:r>
        <w:rPr>
          <w:sz w:val="16"/>
        </w:rPr>
        <w:t>Objednatel se zavazuje dodat reklamní materiály nebo grafické podklady v souladu s technickým listem, který je veřejně přístupný na internetových</w:t>
      </w:r>
      <w:r>
        <w:rPr>
          <w:spacing w:val="-3"/>
          <w:sz w:val="16"/>
        </w:rPr>
        <w:t> </w:t>
      </w:r>
      <w:r>
        <w:rPr>
          <w:sz w:val="16"/>
        </w:rPr>
        <w:t>stránkách</w:t>
      </w:r>
      <w:r>
        <w:rPr>
          <w:spacing w:val="-3"/>
          <w:sz w:val="16"/>
        </w:rPr>
        <w:t> </w:t>
      </w:r>
      <w:r>
        <w:rPr>
          <w:sz w:val="16"/>
        </w:rPr>
        <w:t>dodavatele.</w:t>
      </w:r>
      <w:r>
        <w:rPr>
          <w:spacing w:val="-1"/>
          <w:sz w:val="16"/>
        </w:rPr>
        <w:t> </w:t>
      </w:r>
      <w:r>
        <w:rPr>
          <w:sz w:val="16"/>
        </w:rPr>
        <w:t>Na</w:t>
      </w:r>
      <w:r>
        <w:rPr>
          <w:spacing w:val="-3"/>
          <w:sz w:val="16"/>
        </w:rPr>
        <w:t> </w:t>
      </w:r>
      <w:r>
        <w:rPr>
          <w:sz w:val="16"/>
        </w:rPr>
        <w:t>vyžádání</w:t>
      </w:r>
      <w:r>
        <w:rPr>
          <w:spacing w:val="-4"/>
          <w:sz w:val="16"/>
        </w:rPr>
        <w:t> </w:t>
      </w:r>
      <w:r>
        <w:rPr>
          <w:sz w:val="16"/>
        </w:rPr>
        <w:t>je</w:t>
      </w:r>
      <w:r>
        <w:rPr>
          <w:spacing w:val="-3"/>
          <w:sz w:val="16"/>
        </w:rPr>
        <w:t> </w:t>
      </w:r>
      <w:r>
        <w:rPr>
          <w:sz w:val="16"/>
        </w:rPr>
        <w:t>dodavatel</w:t>
      </w:r>
      <w:r>
        <w:rPr>
          <w:spacing w:val="-2"/>
          <w:sz w:val="16"/>
        </w:rPr>
        <w:t> </w:t>
      </w:r>
      <w:r>
        <w:rPr>
          <w:sz w:val="16"/>
        </w:rPr>
        <w:t>rovněž</w:t>
      </w:r>
      <w:r>
        <w:rPr>
          <w:spacing w:val="-3"/>
          <w:sz w:val="16"/>
        </w:rPr>
        <w:t> </w:t>
      </w:r>
      <w:r>
        <w:rPr>
          <w:sz w:val="16"/>
        </w:rPr>
        <w:t>poskytne</w:t>
      </w:r>
      <w:r>
        <w:rPr>
          <w:spacing w:val="-3"/>
          <w:sz w:val="16"/>
        </w:rPr>
        <w:t> </w:t>
      </w:r>
      <w:r>
        <w:rPr>
          <w:sz w:val="16"/>
        </w:rPr>
        <w:t>objednateli</w:t>
      </w:r>
      <w:r>
        <w:rPr>
          <w:spacing w:val="-2"/>
          <w:sz w:val="16"/>
        </w:rPr>
        <w:t> </w:t>
      </w:r>
      <w:r>
        <w:rPr>
          <w:sz w:val="16"/>
        </w:rPr>
        <w:t>zasláním na</w:t>
      </w:r>
      <w:r>
        <w:rPr>
          <w:spacing w:val="-3"/>
          <w:sz w:val="16"/>
        </w:rPr>
        <w:t> </w:t>
      </w:r>
      <w:r>
        <w:rPr>
          <w:sz w:val="16"/>
        </w:rPr>
        <w:t>jím uvedenou</w:t>
      </w:r>
      <w:r>
        <w:rPr>
          <w:spacing w:val="-3"/>
          <w:sz w:val="16"/>
        </w:rPr>
        <w:t> </w:t>
      </w:r>
      <w:r>
        <w:rPr>
          <w:sz w:val="16"/>
        </w:rPr>
        <w:t>emailovou</w:t>
      </w:r>
      <w:r>
        <w:rPr>
          <w:spacing w:val="-3"/>
          <w:sz w:val="16"/>
        </w:rPr>
        <w:t> </w:t>
      </w:r>
      <w:r>
        <w:rPr>
          <w:sz w:val="16"/>
        </w:rPr>
        <w:t>adresu.</w:t>
      </w:r>
    </w:p>
    <w:p>
      <w:pPr>
        <w:pStyle w:val="ListParagraph"/>
        <w:numPr>
          <w:ilvl w:val="1"/>
          <w:numId w:val="7"/>
        </w:numPr>
        <w:tabs>
          <w:tab w:pos="581" w:val="left" w:leader="none"/>
        </w:tabs>
        <w:spacing w:line="295" w:lineRule="auto" w:before="14" w:after="0"/>
        <w:ind w:left="580" w:right="131" w:hanging="435"/>
        <w:jc w:val="left"/>
        <w:rPr>
          <w:sz w:val="16"/>
        </w:rPr>
      </w:pPr>
      <w:r>
        <w:rPr>
          <w:sz w:val="16"/>
        </w:rPr>
        <w:t>Objednatel odpovídá za kvalitu použitého reklamního materiálu, který předává dodavateli k instalaci, jakož i za kvalitu a obsah grafických podkladů, které předává dodavateli pro výrobu, jejich souladu s technickými parametry uvedenými v technickém listu, dále za splnění (dodržení) technických norem vztahujících se k venkovní reklamě, za grafický a textový obsah a jejich soulad s právními a etickými normami platnými v ČR a Kodexem reklamy vydaným Radou pro reklamu. V tomto smyslu se objednatel zejména zavazuje dodržovat příslušná ustanovení autorského zákona, trestního zákona, zákona o regulaci reklamy, práva k ochranné známce, Kodex reklamy vydaným Radou pro reklamu atd. </w:t>
      </w:r>
      <w:r>
        <w:rPr>
          <w:spacing w:val="-2"/>
          <w:sz w:val="16"/>
        </w:rPr>
        <w:t>Rovněž </w:t>
      </w:r>
      <w:r>
        <w:rPr>
          <w:sz w:val="16"/>
        </w:rPr>
        <w:t>se objednatel zavazuje, že reklamní kampaň ani reklamní motiv nebude obsahovat přímý nebo nepřímý odkaz či jakékoliv označení poškozující zájmy nebo postavení dodavatele, společnosti Dopravní podnik hl. m. Prahy, akciová společnost nebo ROPID – Regionální organizátor Pražské integrované dopravy, a dále se zavazuje, že reklamní kampaň a reklamní motiv budou apolitické a nebudou zejména obsahovat žádný politický obsah ani podtext, ani propagovat jakoukoliv politicky exponovanou osobu nebo politický subjekt, nebude-li smluvními stranami výslovně písemně sjednáno něco jiného. V případě, že reklama bude využívat prvky umožňující sledování chování uživatele (cookies, apod.) či zpracovávající osobní údaje uživatele, je objednatel plně odpovědný za soulad takovéto reklamy s právními předpisy, zejména zákonem o ochraně osobních údajů, souvisejících zákonů i nařízením EPR (EU) 2016/679 a je správcem takových údajů. Tím není dotčeno právo dodavatele využívat jím sbírané údaje samostatně. V případě, že objednatel poruší byť některý ze závazků sjednaný v tomto ustanovení, a to i částečně, a třetí osoba bude úspěšně proti dodavateli uplatňovat z titulu tohoto porušení jakékoliv sankce včetně náhrady škody, zavazuje se objednatel tyto sankce včetně náhrady škody v plném rozsahu dodavateli uhradit. Rovněž je dodavatel oprávněn realizaci reklamní kampaně předčasně ukončit formou neinstalování reklamních materiálů, stažením nebo deinstalací, a smlouva/ dílčí objednávka v daném rozsahu částečně zanikne, nedomluví-li se smluvní strany jinak, přičemž taková neinstalace, stažení nebo deinstalace nemá žádný vliv na</w:t>
      </w:r>
      <w:r>
        <w:rPr>
          <w:spacing w:val="-6"/>
          <w:sz w:val="16"/>
        </w:rPr>
        <w:t> </w:t>
      </w:r>
      <w:r>
        <w:rPr>
          <w:sz w:val="16"/>
        </w:rPr>
        <w:t>snížení</w:t>
      </w:r>
    </w:p>
    <w:p>
      <w:pPr>
        <w:spacing w:after="0" w:line="295" w:lineRule="auto"/>
        <w:jc w:val="left"/>
        <w:rPr>
          <w:sz w:val="16"/>
        </w:rPr>
        <w:sectPr>
          <w:pgSz w:w="11900" w:h="16840"/>
          <w:pgMar w:header="0" w:footer="94" w:top="60" w:bottom="280" w:left="140" w:right="800"/>
        </w:sectPr>
      </w:pPr>
    </w:p>
    <w:p>
      <w:pPr>
        <w:pStyle w:val="BodyText"/>
        <w:spacing w:before="82"/>
        <w:ind w:firstLine="0"/>
      </w:pPr>
      <w:r>
        <w:rPr/>
        <w:t>smluvené odměny a objednatel je povinen zaplatit dodavateli odměnu za reklamní kampaň v plné výši.</w:t>
      </w:r>
    </w:p>
    <w:p>
      <w:pPr>
        <w:pStyle w:val="ListParagraph"/>
        <w:numPr>
          <w:ilvl w:val="1"/>
          <w:numId w:val="7"/>
        </w:numPr>
        <w:tabs>
          <w:tab w:pos="580" w:val="left" w:leader="none"/>
        </w:tabs>
        <w:spacing w:line="312" w:lineRule="auto" w:before="55" w:after="0"/>
        <w:ind w:left="580" w:right="197" w:hanging="435"/>
        <w:jc w:val="left"/>
        <w:rPr>
          <w:sz w:val="16"/>
        </w:rPr>
      </w:pPr>
      <w:r>
        <w:rPr>
          <w:sz w:val="16"/>
        </w:rPr>
        <w:t>Dodavatel si dále vyhrazuje právo reklamní kampaň neuskutečnit nebo ukončit dříve, než skončí garantované období reklamní kampaně, v případě, že bude Radou pro reklamu nebo veřejnoprávními, státními nebo jinými orgány vyzván ke stažení reklamy nebo mu tento postup bude doporučen nebo bude reklamní kampaň, případně grafický motiv reklamy v rozporu s hospodářskými zájmy dodavatele. Dodavatel je v takovém případě oprávněn realizaci reklamní kampaně předčasně ukončit formou neinstalování reklamních materiálů, stažením nebo deinstalací, a smlouva/ dílčí objednávka v daném rozsahu částečně zanikne, nedomluví-li se smluvní strany jinak, přičemž taková neinstalace, stažení nebo deinstalace nemá žádný vliv na snížení smluvené odměny a objednatel je povinen zaplatit dodavateli odměnu za reklamní kampaň v plné</w:t>
      </w:r>
      <w:r>
        <w:rPr>
          <w:spacing w:val="-21"/>
          <w:sz w:val="16"/>
        </w:rPr>
        <w:t> </w:t>
      </w:r>
      <w:r>
        <w:rPr>
          <w:sz w:val="16"/>
        </w:rPr>
        <w:t>výši.</w:t>
      </w:r>
    </w:p>
    <w:p>
      <w:pPr>
        <w:pStyle w:val="ListParagraph"/>
        <w:numPr>
          <w:ilvl w:val="1"/>
          <w:numId w:val="7"/>
        </w:numPr>
        <w:tabs>
          <w:tab w:pos="581" w:val="left" w:leader="none"/>
        </w:tabs>
        <w:spacing w:line="276" w:lineRule="auto" w:before="2" w:after="0"/>
        <w:ind w:left="580" w:right="337" w:hanging="435"/>
        <w:jc w:val="left"/>
        <w:rPr>
          <w:sz w:val="16"/>
        </w:rPr>
      </w:pPr>
      <w:r>
        <w:rPr>
          <w:sz w:val="16"/>
        </w:rPr>
        <w:t>Dodavatel je dále oprávněn doporučit objednateli změnu vizuálu reklamního motivu a reklamní materiály s původním reklamním motivem neinstalovat, stáhnout nebo deinstalovat. Objednatel v takovém případě reklamní motiv po dohodě s dodavatelem změní a upravené reklamní materiály v potřebném počtu doručí dodavateli na adresu uvedenou v čl. V. odst. 5.3. OP nejpozději do 3 pracovních dní ode dne zaslání emailové výzvy dodavatele k úpravě reklamního motivu. Neučiní-li tak objednatel ve stanovené lhůtě a nedomluví-li se smluvní strany jinak, smlouva/ dílčí objednávka v daném rozsahu částečně zanikne a reklamní materiály budou neinstalovány, staženy nebo deinstalovány. Objednatel má v takovém případě nárok na slevu z odměny dle smlouvy/ dílčí objednávky ve výši odpovídající rozsahu zaniklé části smlouvy/ dílčí objednávky, nebude-li důvodem pro doporučení změny reklamního motivu rozpor s některým ze závazků nebo podmínkou v čl. VI. odst. 6.1., odst. 6.2. nebo 6.3.</w:t>
      </w:r>
      <w:r>
        <w:rPr>
          <w:spacing w:val="5"/>
          <w:sz w:val="16"/>
        </w:rPr>
        <w:t> </w:t>
      </w:r>
      <w:r>
        <w:rPr>
          <w:sz w:val="16"/>
        </w:rPr>
        <w:t>OP.</w:t>
      </w:r>
    </w:p>
    <w:p>
      <w:pPr>
        <w:pStyle w:val="ListParagraph"/>
        <w:numPr>
          <w:ilvl w:val="1"/>
          <w:numId w:val="7"/>
        </w:numPr>
        <w:tabs>
          <w:tab w:pos="581" w:val="left" w:leader="none"/>
        </w:tabs>
        <w:spacing w:line="276" w:lineRule="auto" w:before="22" w:after="0"/>
        <w:ind w:left="580" w:right="327" w:hanging="435"/>
        <w:jc w:val="left"/>
        <w:rPr>
          <w:sz w:val="16"/>
        </w:rPr>
      </w:pPr>
      <w:r>
        <w:rPr>
          <w:sz w:val="16"/>
        </w:rPr>
        <w:t>Dodavatel nenese odpovědnost za kvalitativní vady vzniklé při instalaci, způsobené nevhodným reklamním materiálem, za adhezi, barevnou a rozměrovou stálost a jiné kvalitativní vady projevující se po dobu reklamní kampaně. Na tyto nedostatky je dodavatel povinen objednatele od jejich zjištění upozornit. Pokud dodavatel takto neučiní, nese veškerou odpovědnost za vzniklé</w:t>
      </w:r>
      <w:r>
        <w:rPr>
          <w:spacing w:val="-18"/>
          <w:sz w:val="16"/>
        </w:rPr>
        <w:t> </w:t>
      </w:r>
      <w:r>
        <w:rPr>
          <w:sz w:val="16"/>
        </w:rPr>
        <w:t>nedostatky.</w:t>
      </w:r>
    </w:p>
    <w:p>
      <w:pPr>
        <w:pStyle w:val="BodyText"/>
        <w:spacing w:before="3"/>
        <w:ind w:left="0" w:firstLine="0"/>
        <w:rPr>
          <w:sz w:val="12"/>
        </w:rPr>
      </w:pPr>
    </w:p>
    <w:p>
      <w:pPr>
        <w:pStyle w:val="Heading1"/>
        <w:numPr>
          <w:ilvl w:val="0"/>
          <w:numId w:val="1"/>
        </w:numPr>
        <w:tabs>
          <w:tab w:pos="436" w:val="left" w:leader="none"/>
        </w:tabs>
        <w:spacing w:line="240" w:lineRule="auto" w:before="100" w:after="0"/>
        <w:ind w:left="435" w:right="0" w:hanging="321"/>
        <w:jc w:val="left"/>
      </w:pPr>
      <w:r>
        <w:rPr>
          <w:u w:val="single"/>
        </w:rPr>
        <w:t>Odměna,</w:t>
      </w:r>
      <w:r>
        <w:rPr>
          <w:spacing w:val="-4"/>
          <w:u w:val="single"/>
        </w:rPr>
        <w:t> </w:t>
      </w:r>
      <w:r>
        <w:rPr>
          <w:u w:val="single"/>
        </w:rPr>
        <w:t>fakturace</w:t>
      </w:r>
    </w:p>
    <w:p>
      <w:pPr>
        <w:pStyle w:val="ListParagraph"/>
        <w:numPr>
          <w:ilvl w:val="1"/>
          <w:numId w:val="8"/>
        </w:numPr>
        <w:tabs>
          <w:tab w:pos="580" w:val="left" w:leader="none"/>
        </w:tabs>
        <w:spacing w:line="312" w:lineRule="auto" w:before="59" w:after="0"/>
        <w:ind w:left="580" w:right="127" w:hanging="435"/>
        <w:jc w:val="left"/>
        <w:rPr>
          <w:sz w:val="16"/>
        </w:rPr>
      </w:pPr>
      <w:r>
        <w:rPr>
          <w:sz w:val="16"/>
        </w:rPr>
        <w:t>Za poskytnuté služby náleží dodavateli smluvená odměna. Výše odměny za užívání reklamních ploch v jednotlivých reklamních kampaních se řídí okamžikem objednání reklamní plochy u dodavatele. Kromě odměny za užívání sjednaných reklamních ploch jsou v odměně rovněž  zahrnuty náklady spojené s dopravou standardních reklamních materiálů typu papírový plakát (nikoliv materiálů pro inovativní řešení a jiných konstrukčních prvků) na dohodnuté místo, s první instalací reklamních materiálů na reklamní plochy jedná-li se o papírový plakát, a to 1 x za reklamní kampaň, s údržbou reklamních ploch a reklamních panelů po celou dobu užívání reklamních ploch, jakož i náklady spojené s pořízením průřezové fotodokumentace dle čl. V odst. 5.8. OP. Všechny ceny a kalkulace jsou uváděny bez DPH a bude k nim připočítáváno DPH v zákonné výši. Platba se považuje za zaplacenou dnem, kdy byla odpovídající částka připsána na účet dodavatele uvedený na</w:t>
      </w:r>
      <w:r>
        <w:rPr>
          <w:spacing w:val="-28"/>
          <w:sz w:val="16"/>
        </w:rPr>
        <w:t> </w:t>
      </w:r>
      <w:r>
        <w:rPr>
          <w:sz w:val="16"/>
        </w:rPr>
        <w:t>faktuře.</w:t>
      </w:r>
    </w:p>
    <w:p>
      <w:pPr>
        <w:pStyle w:val="ListParagraph"/>
        <w:numPr>
          <w:ilvl w:val="1"/>
          <w:numId w:val="8"/>
        </w:numPr>
        <w:tabs>
          <w:tab w:pos="581" w:val="left" w:leader="none"/>
        </w:tabs>
        <w:spacing w:line="312" w:lineRule="auto" w:before="2" w:after="0"/>
        <w:ind w:left="580" w:right="122" w:hanging="435"/>
        <w:jc w:val="left"/>
        <w:rPr>
          <w:sz w:val="16"/>
        </w:rPr>
      </w:pPr>
      <w:r>
        <w:rPr>
          <w:sz w:val="16"/>
        </w:rPr>
        <w:t>V odměně, vyjma nákladů na instalaci reklamních materiálů, které jsou uvedeny v čl. VII odst. 7.1. OP, nejsou zahrnuty náklady spojené s výrobou a instalací reklamních materiálů. Tyto jsou objednatelem placeny zvlášť dle kalkulace zaslané dodavatelem objednateli, není-li smluvními stranami sjednáno jinak. Objednatel rovněž zaplatí zvlášť dodavateli veškeré náklady spojené s nadstandardním kreativním a technickým či inovativním řešením přesahujícím rámec standardních reklamních materiálů, zejména jejich výrobu, dopravu, instalaci, odstranění, likvidaci, atd. Toto nadstandardní kreativní a technické či inovativní řešení musí být přesně popsáno (specifikováno) ve smlouvě. Není-li toto nadstandardní kreativní a technické či inovativní řešení ve smlouvě specifikováno, nemůže se objednatel vůči dodavateli s úspěchem dovolávat nápravy nebo odstranění případných vad instalace reklamních materiálů nebo inovativních</w:t>
      </w:r>
      <w:r>
        <w:rPr>
          <w:spacing w:val="-27"/>
          <w:sz w:val="16"/>
        </w:rPr>
        <w:t> </w:t>
      </w:r>
      <w:r>
        <w:rPr>
          <w:sz w:val="16"/>
        </w:rPr>
        <w:t>řešení.</w:t>
      </w:r>
    </w:p>
    <w:p>
      <w:pPr>
        <w:pStyle w:val="ListParagraph"/>
        <w:numPr>
          <w:ilvl w:val="1"/>
          <w:numId w:val="8"/>
        </w:numPr>
        <w:tabs>
          <w:tab w:pos="581" w:val="left" w:leader="none"/>
        </w:tabs>
        <w:spacing w:line="295" w:lineRule="auto" w:before="2" w:after="0"/>
        <w:ind w:left="580" w:right="147" w:hanging="435"/>
        <w:jc w:val="left"/>
        <w:rPr>
          <w:sz w:val="16"/>
        </w:rPr>
      </w:pPr>
      <w:r>
        <w:rPr>
          <w:sz w:val="16"/>
        </w:rPr>
        <w:t>Smluvní strany se dohodly, že dodavatel má právo požadovat po objednateli zaplacení zálohy. Požádá-li dodavatel objednatele o zaplacení zálohy, je objednatel povinen tuto zálohu dodavateli na základě zálohové faktury neprodleně zaplatit. Dodavatel není povinen zahájit práce podle smlouvy a těchto obchodních podmínek, a tím tedy plnit své povinnosti do doby, než bude tato záloha dodavateli zaplacena (připsána na</w:t>
      </w:r>
      <w:r>
        <w:rPr>
          <w:spacing w:val="-20"/>
          <w:sz w:val="16"/>
        </w:rPr>
        <w:t> </w:t>
      </w:r>
      <w:r>
        <w:rPr>
          <w:sz w:val="16"/>
        </w:rPr>
        <w:t>účet).</w:t>
      </w:r>
    </w:p>
    <w:p>
      <w:pPr>
        <w:pStyle w:val="ListParagraph"/>
        <w:numPr>
          <w:ilvl w:val="1"/>
          <w:numId w:val="8"/>
        </w:numPr>
        <w:tabs>
          <w:tab w:pos="581" w:val="left" w:leader="none"/>
        </w:tabs>
        <w:spacing w:line="295" w:lineRule="auto" w:before="15" w:after="0"/>
        <w:ind w:left="580" w:right="885" w:hanging="435"/>
        <w:jc w:val="left"/>
        <w:rPr>
          <w:sz w:val="16"/>
        </w:rPr>
      </w:pPr>
      <w:r>
        <w:rPr>
          <w:sz w:val="16"/>
        </w:rPr>
        <w:t>Dodavatel bude objednateli vystavovat příslušné faktury, daňové doklady vždy k 1. dni příslušné reklamní kampaně s tím, že splatnost vyúčtované částky uvedené na faktuře, daňovém dokladu bude činit 14 dní ode dne vystavení faktury, daňového</w:t>
      </w:r>
      <w:r>
        <w:rPr>
          <w:spacing w:val="-25"/>
          <w:sz w:val="16"/>
        </w:rPr>
        <w:t> </w:t>
      </w:r>
      <w:r>
        <w:rPr>
          <w:sz w:val="16"/>
        </w:rPr>
        <w:t>dokladu.</w:t>
      </w:r>
    </w:p>
    <w:p>
      <w:pPr>
        <w:pStyle w:val="ListParagraph"/>
        <w:numPr>
          <w:ilvl w:val="1"/>
          <w:numId w:val="8"/>
        </w:numPr>
        <w:tabs>
          <w:tab w:pos="581" w:val="left" w:leader="none"/>
        </w:tabs>
        <w:spacing w:line="295" w:lineRule="auto" w:before="15" w:after="0"/>
        <w:ind w:left="580" w:right="329" w:hanging="434"/>
        <w:jc w:val="left"/>
        <w:rPr>
          <w:sz w:val="16"/>
        </w:rPr>
      </w:pPr>
      <w:r>
        <w:rPr>
          <w:sz w:val="16"/>
        </w:rPr>
        <w:t>Veškerá odměna, cena, jakož i veškeré další finanční závazky mohou být účtovány dodavatelem v elektronické podobě. Dodavatel bude takto vystavené daňové doklady zasílat objednateli v elektronické podobě ve formátu PDF na objednatelem uvedenou emailovou adresu, s čímž objednatel výslovně souhlasí. Objednatel je oprávněn vyjádřit dodavateli nesouhlas s elektronickou fakturací nejpozději den před vystavením příslušného daňového dokladu dodavatelem. Dané ustanovení nemá vliv na oprávnění dodavatele zasílat vystavené daňové doklady poštou nebo obdobným</w:t>
      </w:r>
      <w:r>
        <w:rPr>
          <w:spacing w:val="-4"/>
          <w:sz w:val="16"/>
        </w:rPr>
        <w:t> </w:t>
      </w:r>
      <w:r>
        <w:rPr>
          <w:sz w:val="16"/>
        </w:rPr>
        <w:t>způsobem.</w:t>
      </w:r>
    </w:p>
    <w:p>
      <w:pPr>
        <w:pStyle w:val="ListParagraph"/>
        <w:numPr>
          <w:ilvl w:val="1"/>
          <w:numId w:val="8"/>
        </w:numPr>
        <w:tabs>
          <w:tab w:pos="581" w:val="left" w:leader="none"/>
        </w:tabs>
        <w:spacing w:line="295" w:lineRule="auto" w:before="15" w:after="0"/>
        <w:ind w:left="580" w:right="410" w:hanging="434"/>
        <w:jc w:val="left"/>
        <w:rPr>
          <w:sz w:val="16"/>
        </w:rPr>
      </w:pPr>
      <w:r>
        <w:rPr>
          <w:sz w:val="16"/>
        </w:rPr>
        <w:t>V případě, že bude objednatel v prodlení s placením odměny, zaplatí dodavateli za každý den smluvní pokutu ve výši 0,05% z dlužné částky. Ustanovením o smluvní pokutě není dotčeno ani omezeno právo dodavatele na náhradu</w:t>
      </w:r>
      <w:r>
        <w:rPr>
          <w:spacing w:val="-17"/>
          <w:sz w:val="16"/>
        </w:rPr>
        <w:t> </w:t>
      </w:r>
      <w:r>
        <w:rPr>
          <w:sz w:val="16"/>
        </w:rPr>
        <w:t>škody.</w:t>
      </w:r>
    </w:p>
    <w:p>
      <w:pPr>
        <w:pStyle w:val="ListParagraph"/>
        <w:numPr>
          <w:ilvl w:val="1"/>
          <w:numId w:val="8"/>
        </w:numPr>
        <w:tabs>
          <w:tab w:pos="581" w:val="left" w:leader="none"/>
        </w:tabs>
        <w:spacing w:line="170" w:lineRule="exact" w:before="0" w:after="0"/>
        <w:ind w:left="580" w:right="0" w:hanging="434"/>
        <w:jc w:val="left"/>
        <w:rPr>
          <w:sz w:val="16"/>
        </w:rPr>
      </w:pPr>
      <w:r>
        <w:rPr>
          <w:sz w:val="16"/>
        </w:rPr>
        <w:t>Dodavatel</w:t>
      </w:r>
      <w:r>
        <w:rPr>
          <w:spacing w:val="-2"/>
          <w:sz w:val="16"/>
        </w:rPr>
        <w:t> </w:t>
      </w:r>
      <w:r>
        <w:rPr>
          <w:sz w:val="16"/>
        </w:rPr>
        <w:t>je</w:t>
      </w:r>
      <w:r>
        <w:rPr>
          <w:spacing w:val="-3"/>
          <w:sz w:val="16"/>
        </w:rPr>
        <w:t> </w:t>
      </w:r>
      <w:r>
        <w:rPr>
          <w:sz w:val="16"/>
        </w:rPr>
        <w:t>oprávněn</w:t>
      </w:r>
      <w:r>
        <w:rPr>
          <w:spacing w:val="-3"/>
          <w:sz w:val="16"/>
        </w:rPr>
        <w:t> </w:t>
      </w:r>
      <w:r>
        <w:rPr>
          <w:sz w:val="16"/>
        </w:rPr>
        <w:t>smlouvu</w:t>
      </w:r>
      <w:r>
        <w:rPr>
          <w:spacing w:val="-3"/>
          <w:sz w:val="16"/>
        </w:rPr>
        <w:t> </w:t>
      </w:r>
      <w:r>
        <w:rPr>
          <w:sz w:val="16"/>
        </w:rPr>
        <w:t>vypovědět</w:t>
      </w:r>
      <w:r>
        <w:rPr>
          <w:spacing w:val="-1"/>
          <w:sz w:val="16"/>
        </w:rPr>
        <w:t> </w:t>
      </w:r>
      <w:r>
        <w:rPr>
          <w:sz w:val="16"/>
        </w:rPr>
        <w:t>bez</w:t>
      </w:r>
      <w:r>
        <w:rPr>
          <w:spacing w:val="-3"/>
          <w:sz w:val="16"/>
        </w:rPr>
        <w:t> </w:t>
      </w:r>
      <w:r>
        <w:rPr>
          <w:sz w:val="16"/>
        </w:rPr>
        <w:t>výpovědní</w:t>
      </w:r>
      <w:r>
        <w:rPr>
          <w:spacing w:val="-4"/>
          <w:sz w:val="16"/>
        </w:rPr>
        <w:t> </w:t>
      </w:r>
      <w:r>
        <w:rPr>
          <w:sz w:val="16"/>
        </w:rPr>
        <w:t>doby</w:t>
      </w:r>
      <w:r>
        <w:rPr>
          <w:spacing w:val="-3"/>
          <w:sz w:val="16"/>
        </w:rPr>
        <w:t> </w:t>
      </w:r>
      <w:r>
        <w:rPr>
          <w:sz w:val="16"/>
        </w:rPr>
        <w:t>pro</w:t>
      </w:r>
      <w:r>
        <w:rPr>
          <w:spacing w:val="-3"/>
          <w:sz w:val="16"/>
        </w:rPr>
        <w:t> </w:t>
      </w:r>
      <w:r>
        <w:rPr>
          <w:sz w:val="16"/>
        </w:rPr>
        <w:t>případ</w:t>
      </w:r>
      <w:r>
        <w:rPr>
          <w:spacing w:val="-3"/>
          <w:sz w:val="16"/>
        </w:rPr>
        <w:t> </w:t>
      </w:r>
      <w:r>
        <w:rPr>
          <w:sz w:val="16"/>
        </w:rPr>
        <w:t>prodlení</w:t>
      </w:r>
      <w:r>
        <w:rPr>
          <w:spacing w:val="-4"/>
          <w:sz w:val="16"/>
        </w:rPr>
        <w:t> </w:t>
      </w:r>
      <w:r>
        <w:rPr>
          <w:sz w:val="16"/>
        </w:rPr>
        <w:t>objednatele</w:t>
      </w:r>
      <w:r>
        <w:rPr>
          <w:spacing w:val="-3"/>
          <w:sz w:val="16"/>
        </w:rPr>
        <w:t> </w:t>
      </w:r>
      <w:r>
        <w:rPr>
          <w:sz w:val="16"/>
        </w:rPr>
        <w:t>se</w:t>
      </w:r>
      <w:r>
        <w:rPr>
          <w:spacing w:val="-3"/>
          <w:sz w:val="16"/>
        </w:rPr>
        <w:t> </w:t>
      </w:r>
      <w:r>
        <w:rPr>
          <w:sz w:val="16"/>
        </w:rPr>
        <w:t>zaplacením</w:t>
      </w:r>
      <w:r>
        <w:rPr>
          <w:spacing w:val="1"/>
          <w:sz w:val="16"/>
        </w:rPr>
        <w:t> </w:t>
      </w:r>
      <w:r>
        <w:rPr>
          <w:sz w:val="16"/>
        </w:rPr>
        <w:t>odměny,</w:t>
      </w:r>
      <w:r>
        <w:rPr>
          <w:spacing w:val="-1"/>
          <w:sz w:val="16"/>
        </w:rPr>
        <w:t> </w:t>
      </w:r>
      <w:r>
        <w:rPr>
          <w:sz w:val="16"/>
        </w:rPr>
        <w:t>ceny,</w:t>
      </w:r>
      <w:r>
        <w:rPr>
          <w:spacing w:val="-2"/>
          <w:sz w:val="16"/>
        </w:rPr>
        <w:t> </w:t>
      </w:r>
      <w:r>
        <w:rPr>
          <w:sz w:val="16"/>
        </w:rPr>
        <w:t>či</w:t>
      </w:r>
      <w:r>
        <w:rPr>
          <w:spacing w:val="-2"/>
          <w:sz w:val="16"/>
        </w:rPr>
        <w:t> </w:t>
      </w:r>
      <w:r>
        <w:rPr>
          <w:sz w:val="16"/>
        </w:rPr>
        <w:t>jejich</w:t>
      </w:r>
      <w:r>
        <w:rPr>
          <w:spacing w:val="-3"/>
          <w:sz w:val="16"/>
        </w:rPr>
        <w:t> </w:t>
      </w:r>
      <w:r>
        <w:rPr>
          <w:sz w:val="16"/>
        </w:rPr>
        <w:t>zálohy,</w:t>
      </w:r>
      <w:r>
        <w:rPr>
          <w:spacing w:val="-1"/>
          <w:sz w:val="16"/>
        </w:rPr>
        <w:t> </w:t>
      </w:r>
      <w:r>
        <w:rPr>
          <w:sz w:val="16"/>
        </w:rPr>
        <w:t>jak</w:t>
      </w:r>
    </w:p>
    <w:p>
      <w:pPr>
        <w:pStyle w:val="BodyText"/>
        <w:spacing w:line="276" w:lineRule="auto" w:before="27"/>
        <w:ind w:right="193" w:firstLine="0"/>
      </w:pPr>
      <w:r>
        <w:rPr/>
        <w:t>jsou sjednány dle čl. VII odst. 7.1., 7.2., 7.3. OP. V takovém případě je objednatel povinen zaplatit dodavateli odměnu nebo cenu shora uvedenou v plné výši bez ohledu na ukončení smlouvy. Dodavatel je současně oprávněn reklamní plochy, na které již byly instalovány reklamní materiály v souladu se smlouvou, která byla ukončena, neinstalovat, stáhnout nebo deinstalovat, a užít pro jiného klienta.</w:t>
      </w:r>
    </w:p>
    <w:p>
      <w:pPr>
        <w:pStyle w:val="BodyText"/>
        <w:spacing w:before="9"/>
        <w:ind w:left="0" w:firstLine="0"/>
        <w:rPr>
          <w:sz w:val="10"/>
        </w:rPr>
      </w:pPr>
    </w:p>
    <w:p>
      <w:pPr>
        <w:pStyle w:val="Heading1"/>
        <w:numPr>
          <w:ilvl w:val="0"/>
          <w:numId w:val="1"/>
        </w:numPr>
        <w:tabs>
          <w:tab w:pos="487" w:val="left" w:leader="none"/>
        </w:tabs>
        <w:spacing w:line="240" w:lineRule="auto" w:before="100" w:after="0"/>
        <w:ind w:left="486" w:right="0" w:hanging="372"/>
        <w:jc w:val="left"/>
      </w:pPr>
      <w:r>
        <w:rPr>
          <w:u w:val="single"/>
        </w:rPr>
        <w:t>Ostatní</w:t>
      </w:r>
      <w:r>
        <w:rPr>
          <w:spacing w:val="-2"/>
          <w:u w:val="single"/>
        </w:rPr>
        <w:t> </w:t>
      </w:r>
      <w:r>
        <w:rPr>
          <w:u w:val="single"/>
        </w:rPr>
        <w:t>podmínky</w:t>
      </w:r>
    </w:p>
    <w:p>
      <w:pPr>
        <w:pStyle w:val="ListParagraph"/>
        <w:numPr>
          <w:ilvl w:val="1"/>
          <w:numId w:val="9"/>
        </w:numPr>
        <w:tabs>
          <w:tab w:pos="580" w:val="left" w:leader="none"/>
        </w:tabs>
        <w:spacing w:line="312" w:lineRule="auto" w:before="59" w:after="0"/>
        <w:ind w:left="580" w:right="143" w:hanging="434"/>
        <w:jc w:val="left"/>
        <w:rPr>
          <w:sz w:val="16"/>
        </w:rPr>
      </w:pPr>
      <w:r>
        <w:rPr>
          <w:sz w:val="16"/>
        </w:rPr>
        <w:t>Dodavatel provádí pravidelnou kontrolu stavu reklamních ploch poskytnutých objednateli, jejich údržbu a kontrolu instalovaného reklamního materiálu. Dodavatel může případné závady reklamních ploch nebo instalace reklamního materiálu na příslušné reklamní ploše zjistit sám při vlastních pravidelných kontrolách reklamních ploch nebo může být na závadu upozorněn objednatelem. Objednatel se zavazuje provádět pravidelnou kontrolu stavu poskytnutých služeb dodavatelem a případné vady u dodavatele včas písemně/ prostřednictvím emailové adresy objednatele, uvedené ve smlouvě, uplatnit a upozornit dodavatele na ně. V upozornění musí být objednatelem označena příslušná reklamní kampaň, uvedena specifikace vady, místo, na kterém se předmětná reklamní plocha nachází, případně i s přiložením pořízené fotodokumentace příslušné reklamní plochy. Neuplatní-li objednatel vady u dodavatele do tří dnů od jejich vzniku, sjednávají si smluvní strany, že uplynutím této lhůty se plnění již poskytnuté dodavatelem považuje za řádně a včas dodané. Dodavatel se zavazuje, že při vlastním zjištění nebo nahlášení závady ze strany objednatele tuto závadu, byla-li způsobena zaviněním dodavatele, odstraní do 48 hodin po jejich nahlášení nebo od vlastního zjištění. Dodavatel garantuje objednateli osvětlení, funkčnost a obsazení minimálně 90 % reklamních ploch přenechaných objednateli do užívání a objednatel bere na vědomí a souhlasí s tím, že plnění v tomto rozsahu je plněním v souladu se smlouvou. Nebudou-li dodrženy výše uvedené lhůty k opravě závady nebo osazení reklamního materiálu na plochu a dojde-li ke snížení osvětlených a funkčních reklamních ploch pod 90 % a objednatel poskytne dodavateli veškerou součinnost, má objednatel nárok za každý další den na slevu ve výši 5 % z částky odpovídající denní odměně za užívání předmětné (poškozené nebo neosazené) reklamní plochy pro dorovnání plnění v minimálním rozsahu alespoň 90% do doby odstranění</w:t>
      </w:r>
      <w:r>
        <w:rPr>
          <w:spacing w:val="-11"/>
          <w:sz w:val="16"/>
        </w:rPr>
        <w:t> </w:t>
      </w:r>
      <w:r>
        <w:rPr>
          <w:sz w:val="16"/>
        </w:rPr>
        <w:t>závady.</w:t>
      </w:r>
    </w:p>
    <w:p>
      <w:pPr>
        <w:pStyle w:val="ListParagraph"/>
        <w:numPr>
          <w:ilvl w:val="1"/>
          <w:numId w:val="9"/>
        </w:numPr>
        <w:tabs>
          <w:tab w:pos="581" w:val="left" w:leader="none"/>
        </w:tabs>
        <w:spacing w:line="312" w:lineRule="auto" w:before="2" w:after="0"/>
        <w:ind w:left="580" w:right="192" w:hanging="434"/>
        <w:jc w:val="left"/>
        <w:rPr>
          <w:sz w:val="16"/>
        </w:rPr>
      </w:pPr>
      <w:r>
        <w:rPr>
          <w:sz w:val="16"/>
        </w:rPr>
        <w:t>Dojde-li během reklamní kampaně ke zničení, poškození, ztrátě, k odstranění reklamní plochy, na které jsou umístěny reklamní materiály objednatele a jejíž užívání na danou dobu si objednatel ujednal, nebo dodavatel bude povinen takovouto reklamní plochu odstranit z </w:t>
      </w:r>
      <w:r>
        <w:rPr>
          <w:spacing w:val="-3"/>
          <w:sz w:val="16"/>
        </w:rPr>
        <w:t>důvodu </w:t>
      </w:r>
      <w:r>
        <w:rPr>
          <w:sz w:val="16"/>
        </w:rPr>
        <w:t>zániku</w:t>
      </w:r>
      <w:r>
        <w:rPr>
          <w:spacing w:val="-3"/>
          <w:sz w:val="16"/>
        </w:rPr>
        <w:t> </w:t>
      </w:r>
      <w:r>
        <w:rPr>
          <w:sz w:val="16"/>
        </w:rPr>
        <w:t>nájemní</w:t>
      </w:r>
      <w:r>
        <w:rPr>
          <w:spacing w:val="-4"/>
          <w:sz w:val="16"/>
        </w:rPr>
        <w:t> </w:t>
      </w:r>
      <w:r>
        <w:rPr>
          <w:sz w:val="16"/>
        </w:rPr>
        <w:t>smlouvy</w:t>
      </w:r>
      <w:r>
        <w:rPr>
          <w:spacing w:val="-3"/>
          <w:sz w:val="16"/>
        </w:rPr>
        <w:t> </w:t>
      </w:r>
      <w:r>
        <w:rPr>
          <w:sz w:val="16"/>
        </w:rPr>
        <w:t>nebo</w:t>
      </w:r>
      <w:r>
        <w:rPr>
          <w:spacing w:val="-3"/>
          <w:sz w:val="16"/>
        </w:rPr>
        <w:t> </w:t>
      </w:r>
      <w:r>
        <w:rPr>
          <w:sz w:val="16"/>
        </w:rPr>
        <w:t>obdobného</w:t>
      </w:r>
      <w:r>
        <w:rPr>
          <w:spacing w:val="-3"/>
          <w:sz w:val="16"/>
        </w:rPr>
        <w:t> </w:t>
      </w:r>
      <w:r>
        <w:rPr>
          <w:sz w:val="16"/>
        </w:rPr>
        <w:t>titulu</w:t>
      </w:r>
      <w:r>
        <w:rPr>
          <w:spacing w:val="-3"/>
          <w:sz w:val="16"/>
        </w:rPr>
        <w:t> </w:t>
      </w:r>
      <w:r>
        <w:rPr>
          <w:sz w:val="16"/>
        </w:rPr>
        <w:t>nebo</w:t>
      </w:r>
      <w:r>
        <w:rPr>
          <w:spacing w:val="-3"/>
          <w:sz w:val="16"/>
        </w:rPr>
        <w:t> </w:t>
      </w:r>
      <w:r>
        <w:rPr>
          <w:sz w:val="16"/>
        </w:rPr>
        <w:t>z</w:t>
      </w:r>
      <w:r>
        <w:rPr>
          <w:spacing w:val="-3"/>
          <w:sz w:val="16"/>
        </w:rPr>
        <w:t> </w:t>
      </w:r>
      <w:r>
        <w:rPr>
          <w:sz w:val="16"/>
        </w:rPr>
        <w:t>důvodu</w:t>
      </w:r>
      <w:r>
        <w:rPr>
          <w:spacing w:val="-3"/>
          <w:sz w:val="16"/>
        </w:rPr>
        <w:t> </w:t>
      </w:r>
      <w:r>
        <w:rPr>
          <w:sz w:val="16"/>
        </w:rPr>
        <w:t>výzvy</w:t>
      </w:r>
      <w:r>
        <w:rPr>
          <w:spacing w:val="-4"/>
          <w:sz w:val="16"/>
        </w:rPr>
        <w:t> </w:t>
      </w:r>
      <w:r>
        <w:rPr>
          <w:sz w:val="16"/>
        </w:rPr>
        <w:t>či</w:t>
      </w:r>
      <w:r>
        <w:rPr>
          <w:spacing w:val="-2"/>
          <w:sz w:val="16"/>
        </w:rPr>
        <w:t> </w:t>
      </w:r>
      <w:r>
        <w:rPr>
          <w:sz w:val="16"/>
        </w:rPr>
        <w:t>rozhodnutí</w:t>
      </w:r>
      <w:r>
        <w:rPr>
          <w:spacing w:val="-4"/>
          <w:sz w:val="16"/>
        </w:rPr>
        <w:t> </w:t>
      </w:r>
      <w:r>
        <w:rPr>
          <w:sz w:val="16"/>
        </w:rPr>
        <w:t>správního</w:t>
      </w:r>
      <w:r>
        <w:rPr>
          <w:spacing w:val="-3"/>
          <w:sz w:val="16"/>
        </w:rPr>
        <w:t> </w:t>
      </w:r>
      <w:r>
        <w:rPr>
          <w:sz w:val="16"/>
        </w:rPr>
        <w:t>úřadu</w:t>
      </w:r>
      <w:r>
        <w:rPr>
          <w:spacing w:val="-3"/>
          <w:sz w:val="16"/>
        </w:rPr>
        <w:t> </w:t>
      </w:r>
      <w:r>
        <w:rPr>
          <w:sz w:val="16"/>
        </w:rPr>
        <w:t>a</w:t>
      </w:r>
      <w:r>
        <w:rPr>
          <w:spacing w:val="-3"/>
          <w:sz w:val="16"/>
        </w:rPr>
        <w:t> </w:t>
      </w:r>
      <w:r>
        <w:rPr>
          <w:sz w:val="16"/>
        </w:rPr>
        <w:t>dojde-li</w:t>
      </w:r>
      <w:r>
        <w:rPr>
          <w:spacing w:val="-2"/>
          <w:sz w:val="16"/>
        </w:rPr>
        <w:t> </w:t>
      </w:r>
      <w:r>
        <w:rPr>
          <w:sz w:val="16"/>
        </w:rPr>
        <w:t>zároveň</w:t>
      </w:r>
      <w:r>
        <w:rPr>
          <w:spacing w:val="-2"/>
          <w:sz w:val="16"/>
        </w:rPr>
        <w:t> </w:t>
      </w:r>
      <w:r>
        <w:rPr>
          <w:sz w:val="16"/>
        </w:rPr>
        <w:t>ke</w:t>
      </w:r>
      <w:r>
        <w:rPr>
          <w:spacing w:val="-3"/>
          <w:sz w:val="16"/>
        </w:rPr>
        <w:t> </w:t>
      </w:r>
      <w:r>
        <w:rPr>
          <w:sz w:val="16"/>
        </w:rPr>
        <w:t>snížení</w:t>
      </w:r>
      <w:r>
        <w:rPr>
          <w:spacing w:val="-4"/>
          <w:sz w:val="16"/>
        </w:rPr>
        <w:t> </w:t>
      </w:r>
      <w:r>
        <w:rPr>
          <w:sz w:val="16"/>
        </w:rPr>
        <w:t>rozsahu</w:t>
      </w:r>
      <w:r>
        <w:rPr>
          <w:spacing w:val="-3"/>
          <w:sz w:val="16"/>
        </w:rPr>
        <w:t> </w:t>
      </w:r>
      <w:r>
        <w:rPr>
          <w:sz w:val="16"/>
        </w:rPr>
        <w:t>plnění</w:t>
      </w:r>
    </w:p>
    <w:p>
      <w:pPr>
        <w:spacing w:after="0" w:line="312" w:lineRule="auto"/>
        <w:jc w:val="left"/>
        <w:rPr>
          <w:sz w:val="16"/>
        </w:rPr>
        <w:sectPr>
          <w:pgSz w:w="11900" w:h="16840"/>
          <w:pgMar w:header="0" w:footer="94" w:top="60" w:bottom="280" w:left="140" w:right="760"/>
        </w:sectPr>
      </w:pPr>
    </w:p>
    <w:p>
      <w:pPr>
        <w:pStyle w:val="BodyText"/>
        <w:spacing w:line="312" w:lineRule="auto" w:before="82"/>
        <w:ind w:right="104" w:firstLine="0"/>
      </w:pPr>
      <w:r>
        <w:rPr/>
        <w:t>pod 90%, nabídne dodavatel objednateli pro dorovnání minimálního plnění, bude-li to možné, umístění reklamních materiálů na jiné reklamní ploše s obdobnou reklamní hodnotou. Objednatel je v tomto případě povinen se k takovému návrhu písemně (i prostřednictvím emailu) do tří pracovních dnů ode dne obdržení návrhu vyjádřit. Nevyjádří-li se objednatel v této lhůtě, mají smluvní strany za to, že s náhradním umístěním reklamních materiálů, navrženým dodavatelem, objednatel souhlasí. Náklady na případné náhradní umístění reklamních materiálů nese dodavatel. Pokud se však smluvní strany na náhradním umístění reklamních materiálů nedohodnou nebo reklamní plochy s obdobnou hodnotou nebudou k dispozici, smlouva/ dílčí objednávka v daném rozsahu částečně zanikne, nedomluví-li se smluvní strany jinak, a objednatel bude mít nárok na slevu z odměny dle smlouvy/ dílčí objednávky ve výši rozsahu zaniklé části smlouvy/dílčí objednávky odpovídající neposkytnutému plnění. Objednatel bere na vědomí, že reklamní plochy včetně reklamních motivů mohou být zachyceny v různých mediích a být předmětem různých reportáží nebo článků a prohlašuje, že si je dané skutečnosti vědom a nebude po dodavateli uplatňovat náhradu vzniklé škody či ušlý zisk.</w:t>
      </w:r>
    </w:p>
    <w:p>
      <w:pPr>
        <w:pStyle w:val="ListParagraph"/>
        <w:numPr>
          <w:ilvl w:val="1"/>
          <w:numId w:val="9"/>
        </w:numPr>
        <w:tabs>
          <w:tab w:pos="581" w:val="left" w:leader="none"/>
        </w:tabs>
        <w:spacing w:line="312" w:lineRule="auto" w:before="1" w:after="0"/>
        <w:ind w:left="580" w:right="120" w:hanging="435"/>
        <w:jc w:val="left"/>
        <w:rPr>
          <w:sz w:val="16"/>
        </w:rPr>
      </w:pPr>
      <w:r>
        <w:rPr>
          <w:sz w:val="16"/>
        </w:rPr>
        <w:t>Nebude-li v možnostech dodavatele zajistit nápravu při poškození reklamních ploch z důvodu nedostatečného počtu rezervních reklamních materiálů, není tato skutečnost důvodem pro vymáhání náhrady škody ze strany objednatele, ani není důvodem pro uplatnění jakýchkoliv dalších sankcí směřujících vůči</w:t>
      </w:r>
      <w:r>
        <w:rPr>
          <w:spacing w:val="-3"/>
          <w:sz w:val="16"/>
        </w:rPr>
        <w:t> </w:t>
      </w:r>
      <w:r>
        <w:rPr>
          <w:sz w:val="16"/>
        </w:rPr>
        <w:t>dodavateli.</w:t>
      </w:r>
    </w:p>
    <w:p>
      <w:pPr>
        <w:pStyle w:val="ListParagraph"/>
        <w:numPr>
          <w:ilvl w:val="1"/>
          <w:numId w:val="9"/>
        </w:numPr>
        <w:tabs>
          <w:tab w:pos="581" w:val="left" w:leader="none"/>
        </w:tabs>
        <w:spacing w:line="312" w:lineRule="auto" w:before="1" w:after="0"/>
        <w:ind w:left="580" w:right="115" w:hanging="434"/>
        <w:jc w:val="left"/>
        <w:rPr>
          <w:sz w:val="16"/>
        </w:rPr>
      </w:pPr>
      <w:r>
        <w:rPr>
          <w:sz w:val="16"/>
        </w:rPr>
        <w:t>Pokud nebude možné zajistit z důvodu vyšší moci (strany se dohodly, že vyšší mocí rozumí: války, občanské nepokoje, stávky, havárie, výpadek el. proudu, přerušení nebo omezení poskytování služeb ze strany poskytovatele, ztráta, zničení, vyřazení z provozu nebo zabavení reklamního panelu, jiného reklamního nosiče či reklamní plochy, změna souvisejících daňových zákonů, opatření státních orgánů (výzva, rozhodnutí, atd.) a další podobné události, jež mají vliv na schopnost plnění povinností podle smlouvy a těchto obchodních podmínek a jež se vymykají kontrole smluvních stran), mimořádných klimatických podmínek nebo z jiných objektivních důvodů instalaci reklamních materiálů na více jak 10% reklamních ploch z reklamních ploch zahrnutých v jednotlivých smlouvách, přiměřeně se posune termín instalace reklamních materiálů na příslušné reklamní plochy pro dorovnání rozsahu plnění alespoň na 90%. Bude-li omezení instalace reklamních materiálů nebo případného provozování reklamní plochy trvat po dobu delší než 3 pracovní dny, zavazuje se dodavatel, bude-li to možné, nabídnout objednateli náhradu obdobné reklamní hodnoty a kvality, aby byl zachován minimální garantovaný rozsah plnění 90%. Objednatel je v tomto případě povinen se k takovému návrhu písemně (i prostřednictvím emailu) do tří pracovních dnů ode dne obdržení návrhu vyjádřit. Nevyjádří-li se objednatel v této lhůtě, mají smluvní strany za to, že s náhradním umístěním reklamních materiálů, navrženým dodavatelem, souhlasí. Náklady na případné náhradní umístění reklamních materiálů nese dodavatel. Pokud se však smluvní strany o náhradním umístění reklamních materiálů nedohodnou nebo nebude-li reklamní plocha s obdobnou hodnotou k dispozici, smlouva/ dílčí objednávka v daném rozsahu částečně zanikne, nedomluví-li se smluvní strany jinak, a objednatel bude mít nárok na slevu z odměny dle smlouvy/ dílčí objednávky ve výši rozsahu zaniklé části smlouvy/dílčí objednávky odpovídající neposkytnutému</w:t>
      </w:r>
      <w:r>
        <w:rPr>
          <w:spacing w:val="-18"/>
          <w:sz w:val="16"/>
        </w:rPr>
        <w:t> </w:t>
      </w:r>
      <w:r>
        <w:rPr>
          <w:sz w:val="16"/>
        </w:rPr>
        <w:t>plnění.</w:t>
      </w:r>
    </w:p>
    <w:p>
      <w:pPr>
        <w:pStyle w:val="BodyText"/>
        <w:spacing w:before="0"/>
        <w:ind w:left="0" w:firstLine="0"/>
        <w:rPr>
          <w:sz w:val="9"/>
        </w:rPr>
      </w:pPr>
    </w:p>
    <w:p>
      <w:pPr>
        <w:pStyle w:val="Heading1"/>
        <w:numPr>
          <w:ilvl w:val="0"/>
          <w:numId w:val="1"/>
        </w:numPr>
        <w:tabs>
          <w:tab w:pos="386" w:val="left" w:leader="none"/>
        </w:tabs>
        <w:spacing w:line="240" w:lineRule="auto" w:before="100" w:after="0"/>
        <w:ind w:left="385" w:right="0" w:hanging="271"/>
        <w:jc w:val="left"/>
      </w:pPr>
      <w:r>
        <w:rPr>
          <w:u w:val="single"/>
        </w:rPr>
        <w:t>Ujednání týkající se smluv uzavřených se spotřebitelem distančním</w:t>
      </w:r>
      <w:r>
        <w:rPr>
          <w:spacing w:val="-23"/>
          <w:u w:val="single"/>
        </w:rPr>
        <w:t> </w:t>
      </w:r>
      <w:r>
        <w:rPr>
          <w:u w:val="single"/>
        </w:rPr>
        <w:t>způsobem</w:t>
      </w:r>
    </w:p>
    <w:p>
      <w:pPr>
        <w:pStyle w:val="ListParagraph"/>
        <w:numPr>
          <w:ilvl w:val="1"/>
          <w:numId w:val="10"/>
        </w:numPr>
        <w:tabs>
          <w:tab w:pos="580" w:val="left" w:leader="none"/>
        </w:tabs>
        <w:spacing w:line="312" w:lineRule="auto" w:before="56" w:after="0"/>
        <w:ind w:left="580" w:right="520" w:hanging="435"/>
        <w:jc w:val="left"/>
        <w:rPr>
          <w:sz w:val="16"/>
        </w:rPr>
      </w:pPr>
      <w:r>
        <w:rPr>
          <w:sz w:val="16"/>
        </w:rPr>
        <w:t>Objednatel v souladu s § 1837 zákona č. 89/2012 Sb., občanský zákoník, uzavřením smlouvy s dodavatelem výslovně souhlasí s tím, že k poskytnutí služeb ze strany dodavatele dojde před uplynutím 14 denní lhůty pro odstoupení od smlouvy dle § 1829 občanského zákoníku, v důsledku čehož objednatel není oprávněn odstoupit od</w:t>
      </w:r>
      <w:r>
        <w:rPr>
          <w:spacing w:val="-11"/>
          <w:sz w:val="16"/>
        </w:rPr>
        <w:t> </w:t>
      </w:r>
      <w:r>
        <w:rPr>
          <w:sz w:val="16"/>
        </w:rPr>
        <w:t>smlouvy.</w:t>
      </w:r>
    </w:p>
    <w:p>
      <w:pPr>
        <w:pStyle w:val="ListParagraph"/>
        <w:numPr>
          <w:ilvl w:val="1"/>
          <w:numId w:val="10"/>
        </w:numPr>
        <w:tabs>
          <w:tab w:pos="581" w:val="left" w:leader="none"/>
        </w:tabs>
        <w:spacing w:line="312" w:lineRule="auto" w:before="2" w:after="0"/>
        <w:ind w:left="580" w:right="290" w:hanging="435"/>
        <w:jc w:val="left"/>
        <w:rPr>
          <w:sz w:val="16"/>
        </w:rPr>
      </w:pPr>
      <w:r>
        <w:rPr>
          <w:sz w:val="16"/>
        </w:rPr>
        <w:t>Náklady na použití komunikačních prostředků na dálku pro uskutečnění smlouvy jsou v běžné výši, závislé na tarifu telekomunikačních služeb, které objednatel</w:t>
      </w:r>
      <w:r>
        <w:rPr>
          <w:spacing w:val="-10"/>
          <w:sz w:val="16"/>
        </w:rPr>
        <w:t> </w:t>
      </w:r>
      <w:r>
        <w:rPr>
          <w:sz w:val="16"/>
        </w:rPr>
        <w:t>používá.</w:t>
      </w:r>
    </w:p>
    <w:p>
      <w:pPr>
        <w:pStyle w:val="ListParagraph"/>
        <w:numPr>
          <w:ilvl w:val="1"/>
          <w:numId w:val="10"/>
        </w:numPr>
        <w:tabs>
          <w:tab w:pos="581" w:val="left" w:leader="none"/>
        </w:tabs>
        <w:spacing w:line="240" w:lineRule="auto" w:before="2" w:after="0"/>
        <w:ind w:left="580" w:right="0" w:hanging="435"/>
        <w:jc w:val="left"/>
        <w:rPr>
          <w:sz w:val="16"/>
        </w:rPr>
      </w:pPr>
      <w:r>
        <w:rPr>
          <w:sz w:val="16"/>
        </w:rPr>
        <w:t>Spotřebitel je oprávněn uplatňovat práva z odpovědnosti za vady u dodavatele v souladu s § 2099 an. zákona č. 89/2012 Sb., občanský</w:t>
      </w:r>
      <w:r>
        <w:rPr>
          <w:spacing w:val="-28"/>
          <w:sz w:val="16"/>
        </w:rPr>
        <w:t> </w:t>
      </w:r>
      <w:r>
        <w:rPr>
          <w:sz w:val="16"/>
        </w:rPr>
        <w:t>zákoník.</w:t>
      </w:r>
    </w:p>
    <w:p>
      <w:pPr>
        <w:pStyle w:val="BodyText"/>
        <w:spacing w:before="8"/>
        <w:ind w:left="0" w:firstLine="0"/>
        <w:rPr>
          <w:sz w:val="13"/>
        </w:rPr>
      </w:pPr>
    </w:p>
    <w:p>
      <w:pPr>
        <w:pStyle w:val="Heading1"/>
        <w:numPr>
          <w:ilvl w:val="0"/>
          <w:numId w:val="1"/>
        </w:numPr>
        <w:tabs>
          <w:tab w:pos="336" w:val="left" w:leader="none"/>
        </w:tabs>
        <w:spacing w:line="240" w:lineRule="auto" w:before="100" w:after="0"/>
        <w:ind w:left="335" w:right="0" w:hanging="221"/>
        <w:jc w:val="left"/>
      </w:pPr>
      <w:r>
        <w:rPr>
          <w:u w:val="single"/>
        </w:rPr>
        <w:t>Závěrečná</w:t>
      </w:r>
      <w:r>
        <w:rPr>
          <w:spacing w:val="-3"/>
          <w:u w:val="single"/>
        </w:rPr>
        <w:t> </w:t>
      </w:r>
      <w:r>
        <w:rPr>
          <w:u w:val="single"/>
        </w:rPr>
        <w:t>ujednání</w:t>
      </w:r>
    </w:p>
    <w:p>
      <w:pPr>
        <w:pStyle w:val="ListParagraph"/>
        <w:numPr>
          <w:ilvl w:val="1"/>
          <w:numId w:val="11"/>
        </w:numPr>
        <w:tabs>
          <w:tab w:pos="580" w:val="left" w:leader="none"/>
        </w:tabs>
        <w:spacing w:line="312" w:lineRule="auto" w:before="56" w:after="0"/>
        <w:ind w:left="580" w:right="245" w:hanging="435"/>
        <w:jc w:val="left"/>
        <w:rPr>
          <w:sz w:val="16"/>
        </w:rPr>
      </w:pPr>
      <w:r>
        <w:rPr>
          <w:sz w:val="16"/>
        </w:rPr>
        <w:t>Smluvní strany se dohodly, že obsah této smlouvy podléhá obchodnímu tajemství a s jako takovým s ním bude zacházeno. V tomto smyslu se smluvní strany zavazují, že budou instruovat příslušným způsobem své zaměstnance, případně další osoby (subdodavatele apod.), které s reklamní smlouvou přijdou do styku a zavazují se, aby o smlouvě a jejím obsahu věděly pouze osoby potřebné pro realizaci ujednaného</w:t>
      </w:r>
      <w:r>
        <w:rPr>
          <w:spacing w:val="-25"/>
          <w:sz w:val="16"/>
        </w:rPr>
        <w:t> </w:t>
      </w:r>
      <w:r>
        <w:rPr>
          <w:sz w:val="16"/>
        </w:rPr>
        <w:t>plnění.</w:t>
      </w:r>
    </w:p>
    <w:p>
      <w:pPr>
        <w:pStyle w:val="ListParagraph"/>
        <w:numPr>
          <w:ilvl w:val="1"/>
          <w:numId w:val="11"/>
        </w:numPr>
        <w:tabs>
          <w:tab w:pos="581" w:val="left" w:leader="none"/>
        </w:tabs>
        <w:spacing w:line="312" w:lineRule="auto" w:before="2" w:after="0"/>
        <w:ind w:left="580" w:right="182" w:hanging="435"/>
        <w:jc w:val="left"/>
        <w:rPr>
          <w:sz w:val="16"/>
        </w:rPr>
      </w:pPr>
      <w:r>
        <w:rPr>
          <w:sz w:val="16"/>
        </w:rPr>
        <w:t>Dodavatel se jakožto správce osobních údajů, které zpracovává v souvislosti s poskytováním služeb dle čl. I. odst. 1.1. obchodních podmínek, provozem webových stránek a v souvislosti s případnou další podnikatelskou činností zavazuje, že bude tyto osobní údaje uchovávat a zpracovávat v souladu s platnými a účinnými právními předpisy, především v souladu s Nařízením Evropského parlamentu a Rady (EU) 2016/679 ze dne 27.4.2016, o ochraně fyzických osob v souvislosti se zpracováním osobních údajů a o volném pohybu těchto údajů a o zrušení směrnice 98/46/ES (dále jen jako „GDPR“) a v souladu se zákonem č. 101/2000 Sb., o ochraně osobních údajů, v platném znění. Informace související s nakládáním s osobními údaji jsou uvedeny v Zásadách zpracování osobních údajů a v Zásadách užívání síťových identifikátorů, které jsou k dispozici na webových stránkách dodavatele či v jeho</w:t>
      </w:r>
      <w:r>
        <w:rPr>
          <w:spacing w:val="-8"/>
          <w:sz w:val="16"/>
        </w:rPr>
        <w:t> </w:t>
      </w:r>
      <w:r>
        <w:rPr>
          <w:sz w:val="16"/>
        </w:rPr>
        <w:t>sídle.</w:t>
      </w:r>
    </w:p>
    <w:p>
      <w:pPr>
        <w:pStyle w:val="ListParagraph"/>
        <w:numPr>
          <w:ilvl w:val="1"/>
          <w:numId w:val="11"/>
        </w:numPr>
        <w:tabs>
          <w:tab w:pos="581" w:val="left" w:leader="none"/>
        </w:tabs>
        <w:spacing w:line="312" w:lineRule="auto" w:before="2" w:after="0"/>
        <w:ind w:left="580" w:right="203" w:hanging="435"/>
        <w:jc w:val="left"/>
        <w:rPr>
          <w:sz w:val="16"/>
        </w:rPr>
      </w:pPr>
      <w:r>
        <w:rPr>
          <w:sz w:val="16"/>
        </w:rPr>
        <w:t>Hovoří-li se v obchodních podmínkách o doručování, rozumí se tím zaslání a faktické doručení příslušné komunikace prostřednictvím provozovatele poštovních služeb (Česká pošta s.p., PPL CZ, s.r.o., DHL, apod.), veřejné datové sítě z datové schránky objednatele do datové schránky</w:t>
      </w:r>
      <w:r>
        <w:rPr>
          <w:spacing w:val="-2"/>
          <w:sz w:val="16"/>
        </w:rPr>
        <w:t> </w:t>
      </w:r>
      <w:r>
        <w:rPr>
          <w:sz w:val="16"/>
        </w:rPr>
        <w:t>dodavatele</w:t>
      </w:r>
      <w:r>
        <w:rPr>
          <w:spacing w:val="-2"/>
          <w:sz w:val="16"/>
        </w:rPr>
        <w:t> </w:t>
      </w:r>
      <w:r>
        <w:rPr>
          <w:sz w:val="16"/>
        </w:rPr>
        <w:t>a</w:t>
      </w:r>
      <w:r>
        <w:rPr>
          <w:spacing w:val="-2"/>
          <w:sz w:val="16"/>
        </w:rPr>
        <w:t> </w:t>
      </w:r>
      <w:r>
        <w:rPr>
          <w:sz w:val="16"/>
        </w:rPr>
        <w:t>naopak</w:t>
      </w:r>
      <w:r>
        <w:rPr>
          <w:spacing w:val="-1"/>
          <w:sz w:val="16"/>
        </w:rPr>
        <w:t> </w:t>
      </w:r>
      <w:r>
        <w:rPr>
          <w:sz w:val="16"/>
        </w:rPr>
        <w:t>nebo</w:t>
      </w:r>
      <w:r>
        <w:rPr>
          <w:spacing w:val="-2"/>
          <w:sz w:val="16"/>
        </w:rPr>
        <w:t> </w:t>
      </w:r>
      <w:r>
        <w:rPr>
          <w:sz w:val="16"/>
        </w:rPr>
        <w:t>elektronickou</w:t>
      </w:r>
      <w:r>
        <w:rPr>
          <w:spacing w:val="-2"/>
          <w:sz w:val="16"/>
        </w:rPr>
        <w:t> </w:t>
      </w:r>
      <w:r>
        <w:rPr>
          <w:sz w:val="16"/>
        </w:rPr>
        <w:t>zprávou</w:t>
      </w:r>
      <w:r>
        <w:rPr>
          <w:spacing w:val="-2"/>
          <w:sz w:val="16"/>
        </w:rPr>
        <w:t> </w:t>
      </w:r>
      <w:r>
        <w:rPr>
          <w:sz w:val="16"/>
        </w:rPr>
        <w:t>z</w:t>
      </w:r>
      <w:r>
        <w:rPr>
          <w:spacing w:val="-2"/>
          <w:sz w:val="16"/>
        </w:rPr>
        <w:t> </w:t>
      </w:r>
      <w:r>
        <w:rPr>
          <w:sz w:val="16"/>
        </w:rPr>
        <w:t>domény,</w:t>
      </w:r>
      <w:r>
        <w:rPr>
          <w:spacing w:val="-1"/>
          <w:sz w:val="16"/>
        </w:rPr>
        <w:t> </w:t>
      </w:r>
      <w:r>
        <w:rPr>
          <w:sz w:val="16"/>
        </w:rPr>
        <w:t>u</w:t>
      </w:r>
      <w:r>
        <w:rPr>
          <w:spacing w:val="-2"/>
          <w:sz w:val="16"/>
        </w:rPr>
        <w:t> </w:t>
      </w:r>
      <w:r>
        <w:rPr>
          <w:sz w:val="16"/>
        </w:rPr>
        <w:t>které</w:t>
      </w:r>
      <w:r>
        <w:rPr>
          <w:spacing w:val="-2"/>
          <w:sz w:val="16"/>
        </w:rPr>
        <w:t> </w:t>
      </w:r>
      <w:r>
        <w:rPr>
          <w:sz w:val="16"/>
        </w:rPr>
        <w:t>není</w:t>
      </w:r>
      <w:r>
        <w:rPr>
          <w:spacing w:val="-3"/>
          <w:sz w:val="16"/>
        </w:rPr>
        <w:t> </w:t>
      </w:r>
      <w:r>
        <w:rPr>
          <w:sz w:val="16"/>
        </w:rPr>
        <w:t>rozumných</w:t>
      </w:r>
      <w:r>
        <w:rPr>
          <w:spacing w:val="-2"/>
          <w:sz w:val="16"/>
        </w:rPr>
        <w:t> </w:t>
      </w:r>
      <w:r>
        <w:rPr>
          <w:sz w:val="16"/>
        </w:rPr>
        <w:t>pochyb,</w:t>
      </w:r>
      <w:r>
        <w:rPr>
          <w:spacing w:val="-1"/>
          <w:sz w:val="16"/>
        </w:rPr>
        <w:t> </w:t>
      </w:r>
      <w:r>
        <w:rPr>
          <w:sz w:val="16"/>
        </w:rPr>
        <w:t>že</w:t>
      </w:r>
      <w:r>
        <w:rPr>
          <w:spacing w:val="-2"/>
          <w:sz w:val="16"/>
        </w:rPr>
        <w:t> </w:t>
      </w:r>
      <w:r>
        <w:rPr>
          <w:sz w:val="16"/>
        </w:rPr>
        <w:t>je</w:t>
      </w:r>
      <w:r>
        <w:rPr>
          <w:spacing w:val="-2"/>
          <w:sz w:val="16"/>
        </w:rPr>
        <w:t> </w:t>
      </w:r>
      <w:r>
        <w:rPr>
          <w:sz w:val="16"/>
        </w:rPr>
        <w:t>užívána</w:t>
      </w:r>
      <w:r>
        <w:rPr>
          <w:spacing w:val="-2"/>
          <w:sz w:val="16"/>
        </w:rPr>
        <w:t> </w:t>
      </w:r>
      <w:r>
        <w:rPr>
          <w:sz w:val="16"/>
        </w:rPr>
        <w:t>výhradně</w:t>
      </w:r>
      <w:r>
        <w:rPr>
          <w:spacing w:val="-2"/>
          <w:sz w:val="16"/>
        </w:rPr>
        <w:t> </w:t>
      </w:r>
      <w:r>
        <w:rPr>
          <w:sz w:val="16"/>
        </w:rPr>
        <w:t>smluvní</w:t>
      </w:r>
      <w:r>
        <w:rPr>
          <w:spacing w:val="-3"/>
          <w:sz w:val="16"/>
        </w:rPr>
        <w:t> </w:t>
      </w:r>
      <w:r>
        <w:rPr>
          <w:sz w:val="16"/>
        </w:rPr>
        <w:t>stranou.</w:t>
      </w:r>
    </w:p>
    <w:p>
      <w:pPr>
        <w:pStyle w:val="ListParagraph"/>
        <w:numPr>
          <w:ilvl w:val="1"/>
          <w:numId w:val="11"/>
        </w:numPr>
        <w:tabs>
          <w:tab w:pos="581" w:val="left" w:leader="none"/>
        </w:tabs>
        <w:spacing w:line="312" w:lineRule="auto" w:before="2" w:after="0"/>
        <w:ind w:left="580" w:right="629" w:hanging="435"/>
        <w:jc w:val="left"/>
        <w:rPr>
          <w:sz w:val="16"/>
        </w:rPr>
      </w:pPr>
      <w:r>
        <w:rPr>
          <w:sz w:val="16"/>
        </w:rPr>
        <w:t>Obchodní podmínky jsou platné a závazné pro všechny uzavřené reklamní smlouvy, není-li v takovýchto smlouvách stanoveno jinak. Tyto obchodní podmínky se přikládají ke každé uzavřené</w:t>
      </w:r>
      <w:r>
        <w:rPr>
          <w:spacing w:val="-11"/>
          <w:sz w:val="16"/>
        </w:rPr>
        <w:t> </w:t>
      </w:r>
      <w:r>
        <w:rPr>
          <w:sz w:val="16"/>
        </w:rPr>
        <w:t>smlouvě.</w:t>
      </w:r>
    </w:p>
    <w:p>
      <w:pPr>
        <w:pStyle w:val="ListParagraph"/>
        <w:numPr>
          <w:ilvl w:val="1"/>
          <w:numId w:val="11"/>
        </w:numPr>
        <w:tabs>
          <w:tab w:pos="581" w:val="left" w:leader="none"/>
        </w:tabs>
        <w:spacing w:line="240" w:lineRule="auto" w:before="2" w:after="0"/>
        <w:ind w:left="580" w:right="0" w:hanging="435"/>
        <w:jc w:val="left"/>
        <w:rPr>
          <w:sz w:val="16"/>
        </w:rPr>
      </w:pPr>
      <w:r>
        <w:rPr>
          <w:sz w:val="16"/>
        </w:rPr>
        <w:t>Aktuální znění obchodních podmínek je zveřejněné na internetových stránkách dodavatele</w:t>
      </w:r>
      <w:r>
        <w:rPr>
          <w:spacing w:val="-31"/>
          <w:sz w:val="16"/>
        </w:rPr>
        <w:t> </w:t>
      </w:r>
      <w:hyperlink r:id="rId7">
        <w:r>
          <w:rPr>
            <w:sz w:val="16"/>
          </w:rPr>
          <w:t>www.metrozoom.cz</w:t>
        </w:r>
      </w:hyperlink>
    </w:p>
    <w:p>
      <w:pPr>
        <w:pStyle w:val="ListParagraph"/>
        <w:numPr>
          <w:ilvl w:val="1"/>
          <w:numId w:val="11"/>
        </w:numPr>
        <w:tabs>
          <w:tab w:pos="581" w:val="left" w:leader="none"/>
        </w:tabs>
        <w:spacing w:line="312" w:lineRule="auto" w:before="55" w:after="0"/>
        <w:ind w:left="580" w:right="598" w:hanging="435"/>
        <w:jc w:val="left"/>
        <w:rPr>
          <w:sz w:val="16"/>
        </w:rPr>
      </w:pPr>
      <w:r>
        <w:rPr>
          <w:sz w:val="16"/>
        </w:rPr>
        <w:t>Dodavatel je dále oprávněn změnit znění obchodních podmínek s tím, že tato změna je následně zveřejněna na internetových stránkách dodavatele, přičemž pro smlouvu jsou rozhodné obchodní podmínky platné a účinné v den uzavření smlouvy ve znění případných dodatků obchodních</w:t>
      </w:r>
      <w:r>
        <w:rPr>
          <w:spacing w:val="-4"/>
          <w:sz w:val="16"/>
        </w:rPr>
        <w:t> </w:t>
      </w:r>
      <w:r>
        <w:rPr>
          <w:sz w:val="16"/>
        </w:rPr>
        <w:t>podmínek.</w:t>
      </w:r>
    </w:p>
    <w:p>
      <w:pPr>
        <w:pStyle w:val="ListParagraph"/>
        <w:numPr>
          <w:ilvl w:val="1"/>
          <w:numId w:val="11"/>
        </w:numPr>
        <w:tabs>
          <w:tab w:pos="581" w:val="left" w:leader="none"/>
        </w:tabs>
        <w:spacing w:line="312" w:lineRule="auto" w:before="1" w:after="0"/>
        <w:ind w:left="580" w:right="665" w:hanging="434"/>
        <w:jc w:val="left"/>
        <w:rPr>
          <w:sz w:val="16"/>
        </w:rPr>
      </w:pPr>
      <w:r>
        <w:rPr>
          <w:sz w:val="16"/>
        </w:rPr>
        <w:t>Práva a povinnosti neupravená smlouvou nebo těmito obchodními podmínkami se řídí právním řádem České republiky, resp. zákonem č. 89/2012 Sb., občanský zákoník a ve vztahu ke spotřebitelům i zákonem č. 634/1992 Sb., o ochraně spotřebitele, v platném</w:t>
      </w:r>
      <w:r>
        <w:rPr>
          <w:spacing w:val="-4"/>
          <w:sz w:val="16"/>
        </w:rPr>
        <w:t> </w:t>
      </w:r>
      <w:r>
        <w:rPr>
          <w:sz w:val="16"/>
        </w:rPr>
        <w:t>znění.</w:t>
      </w:r>
    </w:p>
    <w:p>
      <w:pPr>
        <w:pStyle w:val="ListParagraph"/>
        <w:numPr>
          <w:ilvl w:val="1"/>
          <w:numId w:val="11"/>
        </w:numPr>
        <w:tabs>
          <w:tab w:pos="581" w:val="left" w:leader="none"/>
        </w:tabs>
        <w:spacing w:line="312" w:lineRule="auto" w:before="1" w:after="0"/>
        <w:ind w:left="580" w:right="268" w:hanging="434"/>
        <w:jc w:val="left"/>
        <w:rPr>
          <w:sz w:val="16"/>
        </w:rPr>
      </w:pPr>
      <w:r>
        <w:rPr>
          <w:sz w:val="16"/>
        </w:rPr>
        <w:t>Věcně příslušným subjektem pro řešení spotřebitelských sporů dle zákona č. 634/1992 Sb., o ochraně spotřebitele, v platném znění, je Česká obchodní inspekce se sídlem Štěpánská 567/15, 120 00 Praha 2. Více informací o mimosoudním řešení spotřebitelských sporů je k nahlédnutí na webových stránkách</w:t>
      </w:r>
      <w:r>
        <w:rPr>
          <w:spacing w:val="-15"/>
          <w:sz w:val="16"/>
        </w:rPr>
        <w:t> </w:t>
      </w:r>
      <w:hyperlink r:id="rId8">
        <w:r>
          <w:rPr>
            <w:sz w:val="16"/>
          </w:rPr>
          <w:t>http://www.coi.cz/.</w:t>
        </w:r>
      </w:hyperlink>
    </w:p>
    <w:sectPr>
      <w:pgSz w:w="11900" w:h="16840"/>
      <w:pgMar w:header="0" w:footer="94" w:top="60" w:bottom="280" w:left="14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line style="position:absolute;mso-position-horizontal-relative:page;mso-position-vertical-relative:page;z-index:-4624" from="21pt,827.639832pt" to="544.559988pt,827.639832pt" stroked="true" strokeweight=".72pt" strokecolor="#000000">
          <v:stroke dashstyle="solid"/>
          <w10:wrap type="none"/>
        </v:lin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0"/>
      <w:numFmt w:val="decimal"/>
      <w:lvlText w:val="%1"/>
      <w:lvlJc w:val="left"/>
      <w:pPr>
        <w:ind w:left="580" w:hanging="435"/>
        <w:jc w:val="left"/>
      </w:pPr>
      <w:rPr>
        <w:rFonts w:hint="default"/>
      </w:rPr>
    </w:lvl>
    <w:lvl w:ilvl="1">
      <w:start w:val="1"/>
      <w:numFmt w:val="decimal"/>
      <w:lvlText w:val="%1.%2."/>
      <w:lvlJc w:val="left"/>
      <w:pPr>
        <w:ind w:left="580" w:hanging="435"/>
        <w:jc w:val="left"/>
      </w:pPr>
      <w:rPr>
        <w:rFonts w:hint="default" w:ascii="Arial" w:hAnsi="Arial" w:eastAsia="Arial" w:cs="Arial"/>
        <w:spacing w:val="-1"/>
        <w:w w:val="100"/>
        <w:sz w:val="16"/>
        <w:szCs w:val="16"/>
      </w:rPr>
    </w:lvl>
    <w:lvl w:ilvl="2">
      <w:start w:val="0"/>
      <w:numFmt w:val="bullet"/>
      <w:lvlText w:val="•"/>
      <w:lvlJc w:val="left"/>
      <w:pPr>
        <w:ind w:left="2664" w:hanging="435"/>
      </w:pPr>
      <w:rPr>
        <w:rFonts w:hint="default"/>
      </w:rPr>
    </w:lvl>
    <w:lvl w:ilvl="3">
      <w:start w:val="0"/>
      <w:numFmt w:val="bullet"/>
      <w:lvlText w:val="•"/>
      <w:lvlJc w:val="left"/>
      <w:pPr>
        <w:ind w:left="3706" w:hanging="435"/>
      </w:pPr>
      <w:rPr>
        <w:rFonts w:hint="default"/>
      </w:rPr>
    </w:lvl>
    <w:lvl w:ilvl="4">
      <w:start w:val="0"/>
      <w:numFmt w:val="bullet"/>
      <w:lvlText w:val="•"/>
      <w:lvlJc w:val="left"/>
      <w:pPr>
        <w:ind w:left="4748" w:hanging="435"/>
      </w:pPr>
      <w:rPr>
        <w:rFonts w:hint="default"/>
      </w:rPr>
    </w:lvl>
    <w:lvl w:ilvl="5">
      <w:start w:val="0"/>
      <w:numFmt w:val="bullet"/>
      <w:lvlText w:val="•"/>
      <w:lvlJc w:val="left"/>
      <w:pPr>
        <w:ind w:left="5790" w:hanging="435"/>
      </w:pPr>
      <w:rPr>
        <w:rFonts w:hint="default"/>
      </w:rPr>
    </w:lvl>
    <w:lvl w:ilvl="6">
      <w:start w:val="0"/>
      <w:numFmt w:val="bullet"/>
      <w:lvlText w:val="•"/>
      <w:lvlJc w:val="left"/>
      <w:pPr>
        <w:ind w:left="6832" w:hanging="435"/>
      </w:pPr>
      <w:rPr>
        <w:rFonts w:hint="default"/>
      </w:rPr>
    </w:lvl>
    <w:lvl w:ilvl="7">
      <w:start w:val="0"/>
      <w:numFmt w:val="bullet"/>
      <w:lvlText w:val="•"/>
      <w:lvlJc w:val="left"/>
      <w:pPr>
        <w:ind w:left="7874" w:hanging="435"/>
      </w:pPr>
      <w:rPr>
        <w:rFonts w:hint="default"/>
      </w:rPr>
    </w:lvl>
    <w:lvl w:ilvl="8">
      <w:start w:val="0"/>
      <w:numFmt w:val="bullet"/>
      <w:lvlText w:val="•"/>
      <w:lvlJc w:val="left"/>
      <w:pPr>
        <w:ind w:left="8916" w:hanging="435"/>
      </w:pPr>
      <w:rPr>
        <w:rFonts w:hint="default"/>
      </w:rPr>
    </w:lvl>
  </w:abstractNum>
  <w:abstractNum w:abstractNumId="9">
    <w:multiLevelType w:val="hybridMultilevel"/>
    <w:lvl w:ilvl="0">
      <w:start w:val="9"/>
      <w:numFmt w:val="decimal"/>
      <w:lvlText w:val="%1"/>
      <w:lvlJc w:val="left"/>
      <w:pPr>
        <w:ind w:left="580" w:hanging="435"/>
        <w:jc w:val="left"/>
      </w:pPr>
      <w:rPr>
        <w:rFonts w:hint="default"/>
      </w:rPr>
    </w:lvl>
    <w:lvl w:ilvl="1">
      <w:start w:val="1"/>
      <w:numFmt w:val="decimal"/>
      <w:lvlText w:val="%1.%2."/>
      <w:lvlJc w:val="left"/>
      <w:pPr>
        <w:ind w:left="580" w:hanging="435"/>
        <w:jc w:val="left"/>
      </w:pPr>
      <w:rPr>
        <w:rFonts w:hint="default" w:ascii="Arial" w:hAnsi="Arial" w:eastAsia="Arial" w:cs="Arial"/>
        <w:spacing w:val="-1"/>
        <w:w w:val="100"/>
        <w:sz w:val="16"/>
        <w:szCs w:val="16"/>
      </w:rPr>
    </w:lvl>
    <w:lvl w:ilvl="2">
      <w:start w:val="0"/>
      <w:numFmt w:val="bullet"/>
      <w:lvlText w:val="•"/>
      <w:lvlJc w:val="left"/>
      <w:pPr>
        <w:ind w:left="2664" w:hanging="435"/>
      </w:pPr>
      <w:rPr>
        <w:rFonts w:hint="default"/>
      </w:rPr>
    </w:lvl>
    <w:lvl w:ilvl="3">
      <w:start w:val="0"/>
      <w:numFmt w:val="bullet"/>
      <w:lvlText w:val="•"/>
      <w:lvlJc w:val="left"/>
      <w:pPr>
        <w:ind w:left="3706" w:hanging="435"/>
      </w:pPr>
      <w:rPr>
        <w:rFonts w:hint="default"/>
      </w:rPr>
    </w:lvl>
    <w:lvl w:ilvl="4">
      <w:start w:val="0"/>
      <w:numFmt w:val="bullet"/>
      <w:lvlText w:val="•"/>
      <w:lvlJc w:val="left"/>
      <w:pPr>
        <w:ind w:left="4748" w:hanging="435"/>
      </w:pPr>
      <w:rPr>
        <w:rFonts w:hint="default"/>
      </w:rPr>
    </w:lvl>
    <w:lvl w:ilvl="5">
      <w:start w:val="0"/>
      <w:numFmt w:val="bullet"/>
      <w:lvlText w:val="•"/>
      <w:lvlJc w:val="left"/>
      <w:pPr>
        <w:ind w:left="5790" w:hanging="435"/>
      </w:pPr>
      <w:rPr>
        <w:rFonts w:hint="default"/>
      </w:rPr>
    </w:lvl>
    <w:lvl w:ilvl="6">
      <w:start w:val="0"/>
      <w:numFmt w:val="bullet"/>
      <w:lvlText w:val="•"/>
      <w:lvlJc w:val="left"/>
      <w:pPr>
        <w:ind w:left="6832" w:hanging="435"/>
      </w:pPr>
      <w:rPr>
        <w:rFonts w:hint="default"/>
      </w:rPr>
    </w:lvl>
    <w:lvl w:ilvl="7">
      <w:start w:val="0"/>
      <w:numFmt w:val="bullet"/>
      <w:lvlText w:val="•"/>
      <w:lvlJc w:val="left"/>
      <w:pPr>
        <w:ind w:left="7874" w:hanging="435"/>
      </w:pPr>
      <w:rPr>
        <w:rFonts w:hint="default"/>
      </w:rPr>
    </w:lvl>
    <w:lvl w:ilvl="8">
      <w:start w:val="0"/>
      <w:numFmt w:val="bullet"/>
      <w:lvlText w:val="•"/>
      <w:lvlJc w:val="left"/>
      <w:pPr>
        <w:ind w:left="8916" w:hanging="435"/>
      </w:pPr>
      <w:rPr>
        <w:rFonts w:hint="default"/>
      </w:rPr>
    </w:lvl>
  </w:abstractNum>
  <w:abstractNum w:abstractNumId="8">
    <w:multiLevelType w:val="hybridMultilevel"/>
    <w:lvl w:ilvl="0">
      <w:start w:val="8"/>
      <w:numFmt w:val="decimal"/>
      <w:lvlText w:val="%1"/>
      <w:lvlJc w:val="left"/>
      <w:pPr>
        <w:ind w:left="580" w:hanging="434"/>
        <w:jc w:val="left"/>
      </w:pPr>
      <w:rPr>
        <w:rFonts w:hint="default"/>
      </w:rPr>
    </w:lvl>
    <w:lvl w:ilvl="1">
      <w:start w:val="1"/>
      <w:numFmt w:val="decimal"/>
      <w:lvlText w:val="%1.%2."/>
      <w:lvlJc w:val="left"/>
      <w:pPr>
        <w:ind w:left="580" w:hanging="434"/>
        <w:jc w:val="left"/>
      </w:pPr>
      <w:rPr>
        <w:rFonts w:hint="default" w:ascii="Arial" w:hAnsi="Arial" w:eastAsia="Arial" w:cs="Arial"/>
        <w:spacing w:val="-1"/>
        <w:w w:val="100"/>
        <w:sz w:val="16"/>
        <w:szCs w:val="16"/>
      </w:rPr>
    </w:lvl>
    <w:lvl w:ilvl="2">
      <w:start w:val="0"/>
      <w:numFmt w:val="bullet"/>
      <w:lvlText w:val="•"/>
      <w:lvlJc w:val="left"/>
      <w:pPr>
        <w:ind w:left="2664" w:hanging="434"/>
      </w:pPr>
      <w:rPr>
        <w:rFonts w:hint="default"/>
      </w:rPr>
    </w:lvl>
    <w:lvl w:ilvl="3">
      <w:start w:val="0"/>
      <w:numFmt w:val="bullet"/>
      <w:lvlText w:val="•"/>
      <w:lvlJc w:val="left"/>
      <w:pPr>
        <w:ind w:left="3706" w:hanging="434"/>
      </w:pPr>
      <w:rPr>
        <w:rFonts w:hint="default"/>
      </w:rPr>
    </w:lvl>
    <w:lvl w:ilvl="4">
      <w:start w:val="0"/>
      <w:numFmt w:val="bullet"/>
      <w:lvlText w:val="•"/>
      <w:lvlJc w:val="left"/>
      <w:pPr>
        <w:ind w:left="4748" w:hanging="434"/>
      </w:pPr>
      <w:rPr>
        <w:rFonts w:hint="default"/>
      </w:rPr>
    </w:lvl>
    <w:lvl w:ilvl="5">
      <w:start w:val="0"/>
      <w:numFmt w:val="bullet"/>
      <w:lvlText w:val="•"/>
      <w:lvlJc w:val="left"/>
      <w:pPr>
        <w:ind w:left="5790" w:hanging="434"/>
      </w:pPr>
      <w:rPr>
        <w:rFonts w:hint="default"/>
      </w:rPr>
    </w:lvl>
    <w:lvl w:ilvl="6">
      <w:start w:val="0"/>
      <w:numFmt w:val="bullet"/>
      <w:lvlText w:val="•"/>
      <w:lvlJc w:val="left"/>
      <w:pPr>
        <w:ind w:left="6832" w:hanging="434"/>
      </w:pPr>
      <w:rPr>
        <w:rFonts w:hint="default"/>
      </w:rPr>
    </w:lvl>
    <w:lvl w:ilvl="7">
      <w:start w:val="0"/>
      <w:numFmt w:val="bullet"/>
      <w:lvlText w:val="•"/>
      <w:lvlJc w:val="left"/>
      <w:pPr>
        <w:ind w:left="7874" w:hanging="434"/>
      </w:pPr>
      <w:rPr>
        <w:rFonts w:hint="default"/>
      </w:rPr>
    </w:lvl>
    <w:lvl w:ilvl="8">
      <w:start w:val="0"/>
      <w:numFmt w:val="bullet"/>
      <w:lvlText w:val="•"/>
      <w:lvlJc w:val="left"/>
      <w:pPr>
        <w:ind w:left="8916" w:hanging="434"/>
      </w:pPr>
      <w:rPr>
        <w:rFonts w:hint="default"/>
      </w:rPr>
    </w:lvl>
  </w:abstractNum>
  <w:abstractNum w:abstractNumId="7">
    <w:multiLevelType w:val="hybridMultilevel"/>
    <w:lvl w:ilvl="0">
      <w:start w:val="7"/>
      <w:numFmt w:val="decimal"/>
      <w:lvlText w:val="%1"/>
      <w:lvlJc w:val="left"/>
      <w:pPr>
        <w:ind w:left="580" w:hanging="435"/>
        <w:jc w:val="left"/>
      </w:pPr>
      <w:rPr>
        <w:rFonts w:hint="default"/>
      </w:rPr>
    </w:lvl>
    <w:lvl w:ilvl="1">
      <w:start w:val="1"/>
      <w:numFmt w:val="decimal"/>
      <w:lvlText w:val="%1.%2."/>
      <w:lvlJc w:val="left"/>
      <w:pPr>
        <w:ind w:left="580" w:hanging="435"/>
        <w:jc w:val="left"/>
      </w:pPr>
      <w:rPr>
        <w:rFonts w:hint="default" w:ascii="Arial" w:hAnsi="Arial" w:eastAsia="Arial" w:cs="Arial"/>
        <w:spacing w:val="-1"/>
        <w:w w:val="100"/>
        <w:sz w:val="16"/>
        <w:szCs w:val="16"/>
      </w:rPr>
    </w:lvl>
    <w:lvl w:ilvl="2">
      <w:start w:val="0"/>
      <w:numFmt w:val="bullet"/>
      <w:lvlText w:val="•"/>
      <w:lvlJc w:val="left"/>
      <w:pPr>
        <w:ind w:left="2664" w:hanging="435"/>
      </w:pPr>
      <w:rPr>
        <w:rFonts w:hint="default"/>
      </w:rPr>
    </w:lvl>
    <w:lvl w:ilvl="3">
      <w:start w:val="0"/>
      <w:numFmt w:val="bullet"/>
      <w:lvlText w:val="•"/>
      <w:lvlJc w:val="left"/>
      <w:pPr>
        <w:ind w:left="3706" w:hanging="435"/>
      </w:pPr>
      <w:rPr>
        <w:rFonts w:hint="default"/>
      </w:rPr>
    </w:lvl>
    <w:lvl w:ilvl="4">
      <w:start w:val="0"/>
      <w:numFmt w:val="bullet"/>
      <w:lvlText w:val="•"/>
      <w:lvlJc w:val="left"/>
      <w:pPr>
        <w:ind w:left="4748" w:hanging="435"/>
      </w:pPr>
      <w:rPr>
        <w:rFonts w:hint="default"/>
      </w:rPr>
    </w:lvl>
    <w:lvl w:ilvl="5">
      <w:start w:val="0"/>
      <w:numFmt w:val="bullet"/>
      <w:lvlText w:val="•"/>
      <w:lvlJc w:val="left"/>
      <w:pPr>
        <w:ind w:left="5790" w:hanging="435"/>
      </w:pPr>
      <w:rPr>
        <w:rFonts w:hint="default"/>
      </w:rPr>
    </w:lvl>
    <w:lvl w:ilvl="6">
      <w:start w:val="0"/>
      <w:numFmt w:val="bullet"/>
      <w:lvlText w:val="•"/>
      <w:lvlJc w:val="left"/>
      <w:pPr>
        <w:ind w:left="6832" w:hanging="435"/>
      </w:pPr>
      <w:rPr>
        <w:rFonts w:hint="default"/>
      </w:rPr>
    </w:lvl>
    <w:lvl w:ilvl="7">
      <w:start w:val="0"/>
      <w:numFmt w:val="bullet"/>
      <w:lvlText w:val="•"/>
      <w:lvlJc w:val="left"/>
      <w:pPr>
        <w:ind w:left="7874" w:hanging="435"/>
      </w:pPr>
      <w:rPr>
        <w:rFonts w:hint="default"/>
      </w:rPr>
    </w:lvl>
    <w:lvl w:ilvl="8">
      <w:start w:val="0"/>
      <w:numFmt w:val="bullet"/>
      <w:lvlText w:val="•"/>
      <w:lvlJc w:val="left"/>
      <w:pPr>
        <w:ind w:left="8916" w:hanging="435"/>
      </w:pPr>
      <w:rPr>
        <w:rFonts w:hint="default"/>
      </w:rPr>
    </w:lvl>
  </w:abstractNum>
  <w:abstractNum w:abstractNumId="6">
    <w:multiLevelType w:val="hybridMultilevel"/>
    <w:lvl w:ilvl="0">
      <w:start w:val="6"/>
      <w:numFmt w:val="decimal"/>
      <w:lvlText w:val="%1"/>
      <w:lvlJc w:val="left"/>
      <w:pPr>
        <w:ind w:left="580" w:hanging="435"/>
        <w:jc w:val="left"/>
      </w:pPr>
      <w:rPr>
        <w:rFonts w:hint="default"/>
      </w:rPr>
    </w:lvl>
    <w:lvl w:ilvl="1">
      <w:start w:val="1"/>
      <w:numFmt w:val="decimal"/>
      <w:lvlText w:val="%1.%2."/>
      <w:lvlJc w:val="left"/>
      <w:pPr>
        <w:ind w:left="580" w:hanging="435"/>
        <w:jc w:val="left"/>
      </w:pPr>
      <w:rPr>
        <w:rFonts w:hint="default" w:ascii="Arial" w:hAnsi="Arial" w:eastAsia="Arial" w:cs="Arial"/>
        <w:spacing w:val="-1"/>
        <w:w w:val="100"/>
        <w:sz w:val="16"/>
        <w:szCs w:val="16"/>
      </w:rPr>
    </w:lvl>
    <w:lvl w:ilvl="2">
      <w:start w:val="0"/>
      <w:numFmt w:val="bullet"/>
      <w:lvlText w:val="•"/>
      <w:lvlJc w:val="left"/>
      <w:pPr>
        <w:ind w:left="2656" w:hanging="435"/>
      </w:pPr>
      <w:rPr>
        <w:rFonts w:hint="default"/>
      </w:rPr>
    </w:lvl>
    <w:lvl w:ilvl="3">
      <w:start w:val="0"/>
      <w:numFmt w:val="bullet"/>
      <w:lvlText w:val="•"/>
      <w:lvlJc w:val="left"/>
      <w:pPr>
        <w:ind w:left="3694" w:hanging="435"/>
      </w:pPr>
      <w:rPr>
        <w:rFonts w:hint="default"/>
      </w:rPr>
    </w:lvl>
    <w:lvl w:ilvl="4">
      <w:start w:val="0"/>
      <w:numFmt w:val="bullet"/>
      <w:lvlText w:val="•"/>
      <w:lvlJc w:val="left"/>
      <w:pPr>
        <w:ind w:left="4732" w:hanging="435"/>
      </w:pPr>
      <w:rPr>
        <w:rFonts w:hint="default"/>
      </w:rPr>
    </w:lvl>
    <w:lvl w:ilvl="5">
      <w:start w:val="0"/>
      <w:numFmt w:val="bullet"/>
      <w:lvlText w:val="•"/>
      <w:lvlJc w:val="left"/>
      <w:pPr>
        <w:ind w:left="5770" w:hanging="435"/>
      </w:pPr>
      <w:rPr>
        <w:rFonts w:hint="default"/>
      </w:rPr>
    </w:lvl>
    <w:lvl w:ilvl="6">
      <w:start w:val="0"/>
      <w:numFmt w:val="bullet"/>
      <w:lvlText w:val="•"/>
      <w:lvlJc w:val="left"/>
      <w:pPr>
        <w:ind w:left="6808" w:hanging="435"/>
      </w:pPr>
      <w:rPr>
        <w:rFonts w:hint="default"/>
      </w:rPr>
    </w:lvl>
    <w:lvl w:ilvl="7">
      <w:start w:val="0"/>
      <w:numFmt w:val="bullet"/>
      <w:lvlText w:val="•"/>
      <w:lvlJc w:val="left"/>
      <w:pPr>
        <w:ind w:left="7846" w:hanging="435"/>
      </w:pPr>
      <w:rPr>
        <w:rFonts w:hint="default"/>
      </w:rPr>
    </w:lvl>
    <w:lvl w:ilvl="8">
      <w:start w:val="0"/>
      <w:numFmt w:val="bullet"/>
      <w:lvlText w:val="•"/>
      <w:lvlJc w:val="left"/>
      <w:pPr>
        <w:ind w:left="8884" w:hanging="435"/>
      </w:pPr>
      <w:rPr>
        <w:rFonts w:hint="default"/>
      </w:rPr>
    </w:lvl>
  </w:abstractNum>
  <w:abstractNum w:abstractNumId="5">
    <w:multiLevelType w:val="hybridMultilevel"/>
    <w:lvl w:ilvl="0">
      <w:start w:val="5"/>
      <w:numFmt w:val="decimal"/>
      <w:lvlText w:val="%1"/>
      <w:lvlJc w:val="left"/>
      <w:pPr>
        <w:ind w:left="580" w:hanging="435"/>
        <w:jc w:val="left"/>
      </w:pPr>
      <w:rPr>
        <w:rFonts w:hint="default"/>
      </w:rPr>
    </w:lvl>
    <w:lvl w:ilvl="1">
      <w:start w:val="1"/>
      <w:numFmt w:val="decimal"/>
      <w:lvlText w:val="%1.%2."/>
      <w:lvlJc w:val="left"/>
      <w:pPr>
        <w:ind w:left="580" w:hanging="435"/>
        <w:jc w:val="left"/>
      </w:pPr>
      <w:rPr>
        <w:rFonts w:hint="default" w:ascii="Arial" w:hAnsi="Arial" w:eastAsia="Arial" w:cs="Arial"/>
        <w:spacing w:val="-1"/>
        <w:w w:val="100"/>
        <w:sz w:val="16"/>
        <w:szCs w:val="16"/>
      </w:rPr>
    </w:lvl>
    <w:lvl w:ilvl="2">
      <w:start w:val="0"/>
      <w:numFmt w:val="bullet"/>
      <w:lvlText w:val="•"/>
      <w:lvlJc w:val="left"/>
      <w:pPr>
        <w:ind w:left="2656" w:hanging="435"/>
      </w:pPr>
      <w:rPr>
        <w:rFonts w:hint="default"/>
      </w:rPr>
    </w:lvl>
    <w:lvl w:ilvl="3">
      <w:start w:val="0"/>
      <w:numFmt w:val="bullet"/>
      <w:lvlText w:val="•"/>
      <w:lvlJc w:val="left"/>
      <w:pPr>
        <w:ind w:left="3694" w:hanging="435"/>
      </w:pPr>
      <w:rPr>
        <w:rFonts w:hint="default"/>
      </w:rPr>
    </w:lvl>
    <w:lvl w:ilvl="4">
      <w:start w:val="0"/>
      <w:numFmt w:val="bullet"/>
      <w:lvlText w:val="•"/>
      <w:lvlJc w:val="left"/>
      <w:pPr>
        <w:ind w:left="4732" w:hanging="435"/>
      </w:pPr>
      <w:rPr>
        <w:rFonts w:hint="default"/>
      </w:rPr>
    </w:lvl>
    <w:lvl w:ilvl="5">
      <w:start w:val="0"/>
      <w:numFmt w:val="bullet"/>
      <w:lvlText w:val="•"/>
      <w:lvlJc w:val="left"/>
      <w:pPr>
        <w:ind w:left="5770" w:hanging="435"/>
      </w:pPr>
      <w:rPr>
        <w:rFonts w:hint="default"/>
      </w:rPr>
    </w:lvl>
    <w:lvl w:ilvl="6">
      <w:start w:val="0"/>
      <w:numFmt w:val="bullet"/>
      <w:lvlText w:val="•"/>
      <w:lvlJc w:val="left"/>
      <w:pPr>
        <w:ind w:left="6808" w:hanging="435"/>
      </w:pPr>
      <w:rPr>
        <w:rFonts w:hint="default"/>
      </w:rPr>
    </w:lvl>
    <w:lvl w:ilvl="7">
      <w:start w:val="0"/>
      <w:numFmt w:val="bullet"/>
      <w:lvlText w:val="•"/>
      <w:lvlJc w:val="left"/>
      <w:pPr>
        <w:ind w:left="7846" w:hanging="435"/>
      </w:pPr>
      <w:rPr>
        <w:rFonts w:hint="default"/>
      </w:rPr>
    </w:lvl>
    <w:lvl w:ilvl="8">
      <w:start w:val="0"/>
      <w:numFmt w:val="bullet"/>
      <w:lvlText w:val="•"/>
      <w:lvlJc w:val="left"/>
      <w:pPr>
        <w:ind w:left="8884" w:hanging="435"/>
      </w:pPr>
      <w:rPr>
        <w:rFonts w:hint="default"/>
      </w:rPr>
    </w:lvl>
  </w:abstractNum>
  <w:abstractNum w:abstractNumId="4">
    <w:multiLevelType w:val="hybridMultilevel"/>
    <w:lvl w:ilvl="0">
      <w:start w:val="4"/>
      <w:numFmt w:val="decimal"/>
      <w:lvlText w:val="%1"/>
      <w:lvlJc w:val="left"/>
      <w:pPr>
        <w:ind w:left="580" w:hanging="435"/>
        <w:jc w:val="left"/>
      </w:pPr>
      <w:rPr>
        <w:rFonts w:hint="default"/>
      </w:rPr>
    </w:lvl>
    <w:lvl w:ilvl="1">
      <w:start w:val="1"/>
      <w:numFmt w:val="decimal"/>
      <w:lvlText w:val="%1.%2."/>
      <w:lvlJc w:val="left"/>
      <w:pPr>
        <w:ind w:left="580" w:hanging="435"/>
        <w:jc w:val="left"/>
      </w:pPr>
      <w:rPr>
        <w:rFonts w:hint="default" w:ascii="Arial" w:hAnsi="Arial" w:eastAsia="Arial" w:cs="Arial"/>
        <w:spacing w:val="-1"/>
        <w:w w:val="100"/>
        <w:sz w:val="16"/>
        <w:szCs w:val="16"/>
      </w:rPr>
    </w:lvl>
    <w:lvl w:ilvl="2">
      <w:start w:val="1"/>
      <w:numFmt w:val="lowerLetter"/>
      <w:lvlText w:val="%3)"/>
      <w:lvlJc w:val="left"/>
      <w:pPr>
        <w:ind w:left="894" w:hanging="315"/>
        <w:jc w:val="left"/>
      </w:pPr>
      <w:rPr>
        <w:rFonts w:hint="default" w:ascii="Arial" w:hAnsi="Arial" w:eastAsia="Arial" w:cs="Arial"/>
        <w:spacing w:val="-1"/>
        <w:w w:val="100"/>
        <w:sz w:val="16"/>
        <w:szCs w:val="16"/>
      </w:rPr>
    </w:lvl>
    <w:lvl w:ilvl="3">
      <w:start w:val="0"/>
      <w:numFmt w:val="bullet"/>
      <w:lvlText w:val="•"/>
      <w:lvlJc w:val="left"/>
      <w:pPr>
        <w:ind w:left="3140" w:hanging="315"/>
      </w:pPr>
      <w:rPr>
        <w:rFonts w:hint="default"/>
      </w:rPr>
    </w:lvl>
    <w:lvl w:ilvl="4">
      <w:start w:val="0"/>
      <w:numFmt w:val="bullet"/>
      <w:lvlText w:val="•"/>
      <w:lvlJc w:val="left"/>
      <w:pPr>
        <w:ind w:left="4260" w:hanging="315"/>
      </w:pPr>
      <w:rPr>
        <w:rFonts w:hint="default"/>
      </w:rPr>
    </w:lvl>
    <w:lvl w:ilvl="5">
      <w:start w:val="0"/>
      <w:numFmt w:val="bullet"/>
      <w:lvlText w:val="•"/>
      <w:lvlJc w:val="left"/>
      <w:pPr>
        <w:ind w:left="5380" w:hanging="315"/>
      </w:pPr>
      <w:rPr>
        <w:rFonts w:hint="default"/>
      </w:rPr>
    </w:lvl>
    <w:lvl w:ilvl="6">
      <w:start w:val="0"/>
      <w:numFmt w:val="bullet"/>
      <w:lvlText w:val="•"/>
      <w:lvlJc w:val="left"/>
      <w:pPr>
        <w:ind w:left="6500" w:hanging="315"/>
      </w:pPr>
      <w:rPr>
        <w:rFonts w:hint="default"/>
      </w:rPr>
    </w:lvl>
    <w:lvl w:ilvl="7">
      <w:start w:val="0"/>
      <w:numFmt w:val="bullet"/>
      <w:lvlText w:val="•"/>
      <w:lvlJc w:val="left"/>
      <w:pPr>
        <w:ind w:left="7620" w:hanging="315"/>
      </w:pPr>
      <w:rPr>
        <w:rFonts w:hint="default"/>
      </w:rPr>
    </w:lvl>
    <w:lvl w:ilvl="8">
      <w:start w:val="0"/>
      <w:numFmt w:val="bullet"/>
      <w:lvlText w:val="•"/>
      <w:lvlJc w:val="left"/>
      <w:pPr>
        <w:ind w:left="8740" w:hanging="315"/>
      </w:pPr>
      <w:rPr>
        <w:rFonts w:hint="default"/>
      </w:rPr>
    </w:lvl>
  </w:abstractNum>
  <w:abstractNum w:abstractNumId="3">
    <w:multiLevelType w:val="hybridMultilevel"/>
    <w:lvl w:ilvl="0">
      <w:start w:val="3"/>
      <w:numFmt w:val="decimal"/>
      <w:lvlText w:val="%1"/>
      <w:lvlJc w:val="left"/>
      <w:pPr>
        <w:ind w:left="580" w:hanging="435"/>
        <w:jc w:val="left"/>
      </w:pPr>
      <w:rPr>
        <w:rFonts w:hint="default"/>
      </w:rPr>
    </w:lvl>
    <w:lvl w:ilvl="1">
      <w:start w:val="1"/>
      <w:numFmt w:val="decimal"/>
      <w:lvlText w:val="%1.%2."/>
      <w:lvlJc w:val="left"/>
      <w:pPr>
        <w:ind w:left="580" w:hanging="435"/>
        <w:jc w:val="left"/>
      </w:pPr>
      <w:rPr>
        <w:rFonts w:hint="default" w:ascii="Arial" w:hAnsi="Arial" w:eastAsia="Arial" w:cs="Arial"/>
        <w:spacing w:val="-1"/>
        <w:w w:val="100"/>
        <w:sz w:val="16"/>
        <w:szCs w:val="16"/>
      </w:rPr>
    </w:lvl>
    <w:lvl w:ilvl="2">
      <w:start w:val="0"/>
      <w:numFmt w:val="bullet"/>
      <w:lvlText w:val="•"/>
      <w:lvlJc w:val="left"/>
      <w:pPr>
        <w:ind w:left="2660" w:hanging="435"/>
      </w:pPr>
      <w:rPr>
        <w:rFonts w:hint="default"/>
      </w:rPr>
    </w:lvl>
    <w:lvl w:ilvl="3">
      <w:start w:val="0"/>
      <w:numFmt w:val="bullet"/>
      <w:lvlText w:val="•"/>
      <w:lvlJc w:val="left"/>
      <w:pPr>
        <w:ind w:left="3700" w:hanging="435"/>
      </w:pPr>
      <w:rPr>
        <w:rFonts w:hint="default"/>
      </w:rPr>
    </w:lvl>
    <w:lvl w:ilvl="4">
      <w:start w:val="0"/>
      <w:numFmt w:val="bullet"/>
      <w:lvlText w:val="•"/>
      <w:lvlJc w:val="left"/>
      <w:pPr>
        <w:ind w:left="4740" w:hanging="435"/>
      </w:pPr>
      <w:rPr>
        <w:rFonts w:hint="default"/>
      </w:rPr>
    </w:lvl>
    <w:lvl w:ilvl="5">
      <w:start w:val="0"/>
      <w:numFmt w:val="bullet"/>
      <w:lvlText w:val="•"/>
      <w:lvlJc w:val="left"/>
      <w:pPr>
        <w:ind w:left="5780" w:hanging="435"/>
      </w:pPr>
      <w:rPr>
        <w:rFonts w:hint="default"/>
      </w:rPr>
    </w:lvl>
    <w:lvl w:ilvl="6">
      <w:start w:val="0"/>
      <w:numFmt w:val="bullet"/>
      <w:lvlText w:val="•"/>
      <w:lvlJc w:val="left"/>
      <w:pPr>
        <w:ind w:left="6820" w:hanging="435"/>
      </w:pPr>
      <w:rPr>
        <w:rFonts w:hint="default"/>
      </w:rPr>
    </w:lvl>
    <w:lvl w:ilvl="7">
      <w:start w:val="0"/>
      <w:numFmt w:val="bullet"/>
      <w:lvlText w:val="•"/>
      <w:lvlJc w:val="left"/>
      <w:pPr>
        <w:ind w:left="7860" w:hanging="435"/>
      </w:pPr>
      <w:rPr>
        <w:rFonts w:hint="default"/>
      </w:rPr>
    </w:lvl>
    <w:lvl w:ilvl="8">
      <w:start w:val="0"/>
      <w:numFmt w:val="bullet"/>
      <w:lvlText w:val="•"/>
      <w:lvlJc w:val="left"/>
      <w:pPr>
        <w:ind w:left="8900" w:hanging="435"/>
      </w:pPr>
      <w:rPr>
        <w:rFonts w:hint="default"/>
      </w:rPr>
    </w:lvl>
  </w:abstractNum>
  <w:abstractNum w:abstractNumId="2">
    <w:multiLevelType w:val="hybridMultilevel"/>
    <w:lvl w:ilvl="0">
      <w:start w:val="2"/>
      <w:numFmt w:val="decimal"/>
      <w:lvlText w:val="%1"/>
      <w:lvlJc w:val="left"/>
      <w:pPr>
        <w:ind w:left="580" w:hanging="435"/>
        <w:jc w:val="left"/>
      </w:pPr>
      <w:rPr>
        <w:rFonts w:hint="default"/>
      </w:rPr>
    </w:lvl>
    <w:lvl w:ilvl="1">
      <w:start w:val="1"/>
      <w:numFmt w:val="decimal"/>
      <w:lvlText w:val="%1.%2."/>
      <w:lvlJc w:val="left"/>
      <w:pPr>
        <w:ind w:left="580" w:hanging="435"/>
        <w:jc w:val="left"/>
      </w:pPr>
      <w:rPr>
        <w:rFonts w:hint="default" w:ascii="Arial" w:hAnsi="Arial" w:eastAsia="Arial" w:cs="Arial"/>
        <w:spacing w:val="-1"/>
        <w:w w:val="100"/>
        <w:sz w:val="16"/>
        <w:szCs w:val="16"/>
      </w:rPr>
    </w:lvl>
    <w:lvl w:ilvl="2">
      <w:start w:val="0"/>
      <w:numFmt w:val="bullet"/>
      <w:lvlText w:val="•"/>
      <w:lvlJc w:val="left"/>
      <w:pPr>
        <w:ind w:left="2660" w:hanging="435"/>
      </w:pPr>
      <w:rPr>
        <w:rFonts w:hint="default"/>
      </w:rPr>
    </w:lvl>
    <w:lvl w:ilvl="3">
      <w:start w:val="0"/>
      <w:numFmt w:val="bullet"/>
      <w:lvlText w:val="•"/>
      <w:lvlJc w:val="left"/>
      <w:pPr>
        <w:ind w:left="3700" w:hanging="435"/>
      </w:pPr>
      <w:rPr>
        <w:rFonts w:hint="default"/>
      </w:rPr>
    </w:lvl>
    <w:lvl w:ilvl="4">
      <w:start w:val="0"/>
      <w:numFmt w:val="bullet"/>
      <w:lvlText w:val="•"/>
      <w:lvlJc w:val="left"/>
      <w:pPr>
        <w:ind w:left="4740" w:hanging="435"/>
      </w:pPr>
      <w:rPr>
        <w:rFonts w:hint="default"/>
      </w:rPr>
    </w:lvl>
    <w:lvl w:ilvl="5">
      <w:start w:val="0"/>
      <w:numFmt w:val="bullet"/>
      <w:lvlText w:val="•"/>
      <w:lvlJc w:val="left"/>
      <w:pPr>
        <w:ind w:left="5780" w:hanging="435"/>
      </w:pPr>
      <w:rPr>
        <w:rFonts w:hint="default"/>
      </w:rPr>
    </w:lvl>
    <w:lvl w:ilvl="6">
      <w:start w:val="0"/>
      <w:numFmt w:val="bullet"/>
      <w:lvlText w:val="•"/>
      <w:lvlJc w:val="left"/>
      <w:pPr>
        <w:ind w:left="6820" w:hanging="435"/>
      </w:pPr>
      <w:rPr>
        <w:rFonts w:hint="default"/>
      </w:rPr>
    </w:lvl>
    <w:lvl w:ilvl="7">
      <w:start w:val="0"/>
      <w:numFmt w:val="bullet"/>
      <w:lvlText w:val="•"/>
      <w:lvlJc w:val="left"/>
      <w:pPr>
        <w:ind w:left="7860" w:hanging="435"/>
      </w:pPr>
      <w:rPr>
        <w:rFonts w:hint="default"/>
      </w:rPr>
    </w:lvl>
    <w:lvl w:ilvl="8">
      <w:start w:val="0"/>
      <w:numFmt w:val="bullet"/>
      <w:lvlText w:val="•"/>
      <w:lvlJc w:val="left"/>
      <w:pPr>
        <w:ind w:left="8900" w:hanging="435"/>
      </w:pPr>
      <w:rPr>
        <w:rFonts w:hint="default"/>
      </w:rPr>
    </w:lvl>
  </w:abstractNum>
  <w:abstractNum w:abstractNumId="1">
    <w:multiLevelType w:val="hybridMultilevel"/>
    <w:lvl w:ilvl="0">
      <w:start w:val="1"/>
      <w:numFmt w:val="decimal"/>
      <w:lvlText w:val="%1"/>
      <w:lvlJc w:val="left"/>
      <w:pPr>
        <w:ind w:left="580" w:hanging="435"/>
        <w:jc w:val="left"/>
      </w:pPr>
      <w:rPr>
        <w:rFonts w:hint="default"/>
      </w:rPr>
    </w:lvl>
    <w:lvl w:ilvl="1">
      <w:start w:val="1"/>
      <w:numFmt w:val="decimal"/>
      <w:lvlText w:val="%1.%2."/>
      <w:lvlJc w:val="left"/>
      <w:pPr>
        <w:ind w:left="580" w:hanging="435"/>
        <w:jc w:val="left"/>
      </w:pPr>
      <w:rPr>
        <w:rFonts w:hint="default" w:ascii="Arial" w:hAnsi="Arial" w:eastAsia="Arial" w:cs="Arial"/>
        <w:spacing w:val="-1"/>
        <w:w w:val="100"/>
        <w:sz w:val="16"/>
        <w:szCs w:val="16"/>
      </w:rPr>
    </w:lvl>
    <w:lvl w:ilvl="2">
      <w:start w:val="0"/>
      <w:numFmt w:val="bullet"/>
      <w:lvlText w:val="•"/>
      <w:lvlJc w:val="left"/>
      <w:pPr>
        <w:ind w:left="2660" w:hanging="435"/>
      </w:pPr>
      <w:rPr>
        <w:rFonts w:hint="default"/>
      </w:rPr>
    </w:lvl>
    <w:lvl w:ilvl="3">
      <w:start w:val="0"/>
      <w:numFmt w:val="bullet"/>
      <w:lvlText w:val="•"/>
      <w:lvlJc w:val="left"/>
      <w:pPr>
        <w:ind w:left="3700" w:hanging="435"/>
      </w:pPr>
      <w:rPr>
        <w:rFonts w:hint="default"/>
      </w:rPr>
    </w:lvl>
    <w:lvl w:ilvl="4">
      <w:start w:val="0"/>
      <w:numFmt w:val="bullet"/>
      <w:lvlText w:val="•"/>
      <w:lvlJc w:val="left"/>
      <w:pPr>
        <w:ind w:left="4740" w:hanging="435"/>
      </w:pPr>
      <w:rPr>
        <w:rFonts w:hint="default"/>
      </w:rPr>
    </w:lvl>
    <w:lvl w:ilvl="5">
      <w:start w:val="0"/>
      <w:numFmt w:val="bullet"/>
      <w:lvlText w:val="•"/>
      <w:lvlJc w:val="left"/>
      <w:pPr>
        <w:ind w:left="5780" w:hanging="435"/>
      </w:pPr>
      <w:rPr>
        <w:rFonts w:hint="default"/>
      </w:rPr>
    </w:lvl>
    <w:lvl w:ilvl="6">
      <w:start w:val="0"/>
      <w:numFmt w:val="bullet"/>
      <w:lvlText w:val="•"/>
      <w:lvlJc w:val="left"/>
      <w:pPr>
        <w:ind w:left="6820" w:hanging="435"/>
      </w:pPr>
      <w:rPr>
        <w:rFonts w:hint="default"/>
      </w:rPr>
    </w:lvl>
    <w:lvl w:ilvl="7">
      <w:start w:val="0"/>
      <w:numFmt w:val="bullet"/>
      <w:lvlText w:val="•"/>
      <w:lvlJc w:val="left"/>
      <w:pPr>
        <w:ind w:left="7860" w:hanging="435"/>
      </w:pPr>
      <w:rPr>
        <w:rFonts w:hint="default"/>
      </w:rPr>
    </w:lvl>
    <w:lvl w:ilvl="8">
      <w:start w:val="0"/>
      <w:numFmt w:val="bullet"/>
      <w:lvlText w:val="•"/>
      <w:lvlJc w:val="left"/>
      <w:pPr>
        <w:ind w:left="8900" w:hanging="435"/>
      </w:pPr>
      <w:rPr>
        <w:rFonts w:hint="default"/>
      </w:rPr>
    </w:lvl>
  </w:abstractNum>
  <w:abstractNum w:abstractNumId="0">
    <w:multiLevelType w:val="hybridMultilevel"/>
    <w:lvl w:ilvl="0">
      <w:start w:val="1"/>
      <w:numFmt w:val="upperRoman"/>
      <w:lvlText w:val="%1."/>
      <w:lvlJc w:val="left"/>
      <w:pPr>
        <w:ind w:left="265" w:hanging="152"/>
        <w:jc w:val="left"/>
      </w:pPr>
      <w:rPr>
        <w:rFonts w:hint="default"/>
        <w:spacing w:val="-2"/>
        <w:w w:val="99"/>
        <w:u w:val="single" w:color="000000"/>
      </w:rPr>
    </w:lvl>
    <w:lvl w:ilvl="1">
      <w:start w:val="0"/>
      <w:numFmt w:val="bullet"/>
      <w:lvlText w:val="•"/>
      <w:lvlJc w:val="left"/>
      <w:pPr>
        <w:ind w:left="920" w:hanging="152"/>
      </w:pPr>
      <w:rPr>
        <w:rFonts w:hint="default"/>
      </w:rPr>
    </w:lvl>
    <w:lvl w:ilvl="2">
      <w:start w:val="0"/>
      <w:numFmt w:val="bullet"/>
      <w:lvlText w:val="•"/>
      <w:lvlJc w:val="left"/>
      <w:pPr>
        <w:ind w:left="2035" w:hanging="152"/>
      </w:pPr>
      <w:rPr>
        <w:rFonts w:hint="default"/>
      </w:rPr>
    </w:lvl>
    <w:lvl w:ilvl="3">
      <w:start w:val="0"/>
      <w:numFmt w:val="bullet"/>
      <w:lvlText w:val="•"/>
      <w:lvlJc w:val="left"/>
      <w:pPr>
        <w:ind w:left="3151" w:hanging="152"/>
      </w:pPr>
      <w:rPr>
        <w:rFonts w:hint="default"/>
      </w:rPr>
    </w:lvl>
    <w:lvl w:ilvl="4">
      <w:start w:val="0"/>
      <w:numFmt w:val="bullet"/>
      <w:lvlText w:val="•"/>
      <w:lvlJc w:val="left"/>
      <w:pPr>
        <w:ind w:left="4266" w:hanging="152"/>
      </w:pPr>
      <w:rPr>
        <w:rFonts w:hint="default"/>
      </w:rPr>
    </w:lvl>
    <w:lvl w:ilvl="5">
      <w:start w:val="0"/>
      <w:numFmt w:val="bullet"/>
      <w:lvlText w:val="•"/>
      <w:lvlJc w:val="left"/>
      <w:pPr>
        <w:ind w:left="5382" w:hanging="152"/>
      </w:pPr>
      <w:rPr>
        <w:rFonts w:hint="default"/>
      </w:rPr>
    </w:lvl>
    <w:lvl w:ilvl="6">
      <w:start w:val="0"/>
      <w:numFmt w:val="bullet"/>
      <w:lvlText w:val="•"/>
      <w:lvlJc w:val="left"/>
      <w:pPr>
        <w:ind w:left="6497" w:hanging="152"/>
      </w:pPr>
      <w:rPr>
        <w:rFonts w:hint="default"/>
      </w:rPr>
    </w:lvl>
    <w:lvl w:ilvl="7">
      <w:start w:val="0"/>
      <w:numFmt w:val="bullet"/>
      <w:lvlText w:val="•"/>
      <w:lvlJc w:val="left"/>
      <w:pPr>
        <w:ind w:left="7613" w:hanging="152"/>
      </w:pPr>
      <w:rPr>
        <w:rFonts w:hint="default"/>
      </w:rPr>
    </w:lvl>
    <w:lvl w:ilvl="8">
      <w:start w:val="0"/>
      <w:numFmt w:val="bullet"/>
      <w:lvlText w:val="•"/>
      <w:lvlJc w:val="left"/>
      <w:pPr>
        <w:ind w:left="8728" w:hanging="152"/>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2"/>
      <w:ind w:left="580" w:hanging="435"/>
    </w:pPr>
    <w:rPr>
      <w:rFonts w:ascii="Arial" w:hAnsi="Arial" w:eastAsia="Arial" w:cs="Arial"/>
      <w:sz w:val="16"/>
      <w:szCs w:val="16"/>
    </w:rPr>
  </w:style>
  <w:style w:styleId="Heading1" w:type="paragraph">
    <w:name w:val="Heading 1"/>
    <w:basedOn w:val="Normal"/>
    <w:uiPriority w:val="1"/>
    <w:qFormat/>
    <w:pPr>
      <w:spacing w:before="100"/>
      <w:ind w:left="385" w:hanging="271"/>
      <w:outlineLvl w:val="1"/>
    </w:pPr>
    <w:rPr>
      <w:rFonts w:ascii="Arial" w:hAnsi="Arial" w:eastAsia="Arial" w:cs="Arial"/>
      <w:b/>
      <w:bCs/>
      <w:sz w:val="18"/>
      <w:szCs w:val="18"/>
    </w:rPr>
  </w:style>
  <w:style w:styleId="ListParagraph" w:type="paragraph">
    <w:name w:val="List Paragraph"/>
    <w:basedOn w:val="Normal"/>
    <w:uiPriority w:val="1"/>
    <w:qFormat/>
    <w:pPr>
      <w:spacing w:before="2"/>
      <w:ind w:left="580" w:hanging="435"/>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podklady@metrozoom.cz" TargetMode="External"/><Relationship Id="rId7" Type="http://schemas.openxmlformats.org/officeDocument/2006/relationships/hyperlink" Target="http://www.metrozoom.cz/" TargetMode="External"/><Relationship Id="rId8" Type="http://schemas.openxmlformats.org/officeDocument/2006/relationships/hyperlink" Target="http://www.coi.cz/"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mrouckova</dc:creator>
  <dc:title>\\SRVRSS01\RSYSTEM\FRT\sml4_1_sql.FRX</dc:title>
  <dcterms:created xsi:type="dcterms:W3CDTF">2019-11-14T12:11:28Z</dcterms:created>
  <dcterms:modified xsi:type="dcterms:W3CDTF">2019-11-14T12:11:28Z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PDFCreator Free 3.5.1</vt:lpwstr>
  </property>
  <property fmtid="{D5CDD505-2E9C-101B-9397-08002B2CF9AE}" pid="4" name="LastSaved">
    <vt:filetime>2019-11-14T00:00:00Z</vt:filetime>
  </property>
</Properties>
</file>