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3C" w:rsidRPr="00630947" w:rsidRDefault="00F7343C" w:rsidP="00F7343C">
      <w:pPr>
        <w:jc w:val="center"/>
        <w:rPr>
          <w:sz w:val="44"/>
          <w:szCs w:val="44"/>
        </w:rPr>
      </w:pPr>
      <w:r w:rsidRPr="00630947">
        <w:rPr>
          <w:b/>
          <w:sz w:val="44"/>
          <w:szCs w:val="44"/>
        </w:rPr>
        <w:t>SMLOUVA O ODBĚRU BIODPADU</w:t>
      </w:r>
    </w:p>
    <w:p w:rsidR="00F7343C" w:rsidRDefault="00F7343C" w:rsidP="00F7343C"/>
    <w:p w:rsidR="00F7343C" w:rsidRDefault="00F7343C" w:rsidP="00AA0142">
      <w:pPr>
        <w:jc w:val="both"/>
        <w:rPr>
          <w:rFonts w:ascii="Tahoma" w:hAnsi="Tahoma" w:cs="Tahoma"/>
          <w:sz w:val="22"/>
          <w:szCs w:val="22"/>
        </w:rPr>
      </w:pPr>
      <w:r w:rsidRPr="00AA0142">
        <w:rPr>
          <w:rFonts w:ascii="Tahoma" w:hAnsi="Tahoma" w:cs="Tahoma"/>
          <w:sz w:val="22"/>
          <w:szCs w:val="22"/>
        </w:rPr>
        <w:t>kterou dnešního dne uzavřeli:</w:t>
      </w:r>
    </w:p>
    <w:p w:rsidR="00AA0142" w:rsidRPr="00AA0142" w:rsidRDefault="00AA0142" w:rsidP="00AA0142">
      <w:pPr>
        <w:jc w:val="both"/>
        <w:rPr>
          <w:rFonts w:ascii="Tahoma" w:hAnsi="Tahoma" w:cs="Tahoma"/>
          <w:sz w:val="22"/>
          <w:szCs w:val="22"/>
        </w:rPr>
      </w:pPr>
    </w:p>
    <w:p w:rsidR="00AA0142" w:rsidRPr="00AA0142" w:rsidRDefault="00AA0142" w:rsidP="00AA0142">
      <w:pPr>
        <w:jc w:val="both"/>
        <w:rPr>
          <w:rFonts w:ascii="Tahoma" w:eastAsiaTheme="minorEastAsia" w:hAnsi="Tahoma" w:cs="Tahoma"/>
          <w:b/>
          <w:noProof/>
          <w:sz w:val="22"/>
          <w:szCs w:val="22"/>
        </w:rPr>
      </w:pPr>
      <w:r w:rsidRPr="00AA0142">
        <w:rPr>
          <w:rFonts w:ascii="Tahoma" w:eastAsiaTheme="minorEastAsia" w:hAnsi="Tahoma" w:cs="Tahoma"/>
          <w:b/>
          <w:noProof/>
          <w:sz w:val="22"/>
          <w:szCs w:val="22"/>
        </w:rPr>
        <w:t>Spolek pro využívání bioodpadů- Sever, z.s.</w:t>
      </w:r>
    </w:p>
    <w:p w:rsidR="00AA0142" w:rsidRPr="00AA0142" w:rsidRDefault="00AA0142" w:rsidP="00AA0142">
      <w:pPr>
        <w:jc w:val="both"/>
        <w:rPr>
          <w:rFonts w:ascii="Tahoma" w:eastAsiaTheme="minorEastAsia" w:hAnsi="Tahoma" w:cs="Tahoma"/>
          <w:noProof/>
          <w:sz w:val="22"/>
          <w:szCs w:val="22"/>
        </w:rPr>
      </w:pPr>
      <w:r w:rsidRPr="00AA0142">
        <w:rPr>
          <w:rFonts w:ascii="Tahoma" w:eastAsiaTheme="minorEastAsia" w:hAnsi="Tahoma" w:cs="Tahoma"/>
          <w:noProof/>
          <w:sz w:val="22"/>
          <w:szCs w:val="22"/>
        </w:rPr>
        <w:t xml:space="preserve">se sídlem Boženy Němcové 872, 472 01 Doksy, IČ06500692, DIČ CZ06500692, č.ú. Fio banka a.s. </w:t>
      </w:r>
      <w:r w:rsidRPr="00AA0142">
        <w:rPr>
          <w:rFonts w:ascii="Tahoma" w:eastAsiaTheme="minorEastAsia" w:hAnsi="Tahoma" w:cs="Tahoma"/>
          <w:noProof/>
          <w:sz w:val="22"/>
          <w:szCs w:val="22"/>
          <w:shd w:val="clear" w:color="auto" w:fill="FFFFFF"/>
        </w:rPr>
        <w:t>2601316990</w:t>
      </w:r>
      <w:r w:rsidRPr="00AA0142">
        <w:rPr>
          <w:rFonts w:ascii="Tahoma" w:eastAsiaTheme="minorEastAsia" w:hAnsi="Tahoma" w:cs="Tahoma"/>
          <w:noProof/>
          <w:sz w:val="22"/>
          <w:szCs w:val="22"/>
        </w:rPr>
        <w:t xml:space="preserve">/2010, IBAN </w:t>
      </w:r>
      <w:r w:rsidRPr="00AA0142">
        <w:rPr>
          <w:rFonts w:ascii="Tahoma" w:eastAsiaTheme="minorEastAsia" w:hAnsi="Tahoma" w:cs="Tahoma"/>
          <w:noProof/>
          <w:sz w:val="22"/>
          <w:szCs w:val="22"/>
          <w:shd w:val="clear" w:color="auto" w:fill="FFFFFF"/>
        </w:rPr>
        <w:t>CZ7020100000002601316990</w:t>
      </w:r>
      <w:r w:rsidRPr="00AA0142">
        <w:rPr>
          <w:rFonts w:ascii="Tahoma" w:eastAsiaTheme="minorEastAsia" w:hAnsi="Tahoma" w:cs="Tahoma"/>
          <w:noProof/>
          <w:sz w:val="22"/>
          <w:szCs w:val="22"/>
        </w:rPr>
        <w:t xml:space="preserve">, BIC/SWIFT kód </w:t>
      </w:r>
      <w:r w:rsidRPr="00AA0142">
        <w:rPr>
          <w:rFonts w:ascii="Tahoma" w:eastAsiaTheme="minorEastAsia" w:hAnsi="Tahoma" w:cs="Tahoma"/>
          <w:noProof/>
          <w:sz w:val="22"/>
          <w:szCs w:val="22"/>
          <w:shd w:val="clear" w:color="auto" w:fill="FFFFFF"/>
        </w:rPr>
        <w:t>FIOBCZPPXXX</w:t>
      </w:r>
    </w:p>
    <w:p w:rsidR="00AA0142" w:rsidRPr="00AA0142" w:rsidRDefault="00AA0142" w:rsidP="00AA0142">
      <w:pPr>
        <w:jc w:val="both"/>
        <w:rPr>
          <w:rFonts w:ascii="Tahoma" w:eastAsiaTheme="minorEastAsia" w:hAnsi="Tahoma" w:cs="Tahoma"/>
          <w:noProof/>
          <w:sz w:val="22"/>
          <w:szCs w:val="22"/>
        </w:rPr>
      </w:pPr>
      <w:r w:rsidRPr="00AA0142">
        <w:rPr>
          <w:rFonts w:ascii="Tahoma" w:eastAsiaTheme="minorEastAsia" w:hAnsi="Tahoma" w:cs="Tahoma"/>
          <w:noProof/>
          <w:sz w:val="22"/>
          <w:szCs w:val="22"/>
        </w:rPr>
        <w:t xml:space="preserve">ID datové schránky: wa9upim; tel. +420 602 118101, E-mail: </w:t>
      </w:r>
    </w:p>
    <w:p w:rsidR="0007581D" w:rsidRPr="00630947" w:rsidRDefault="00F7343C" w:rsidP="00630947">
      <w:pPr>
        <w:jc w:val="both"/>
        <w:rPr>
          <w:rFonts w:ascii="Tahoma" w:hAnsi="Tahoma" w:cs="Tahoma"/>
          <w:sz w:val="20"/>
          <w:szCs w:val="20"/>
        </w:rPr>
      </w:pPr>
      <w:r w:rsidRPr="00630947">
        <w:rPr>
          <w:rFonts w:ascii="Tahoma" w:hAnsi="Tahoma" w:cs="Tahoma"/>
          <w:sz w:val="20"/>
          <w:szCs w:val="20"/>
        </w:rPr>
        <w:t>Zastoupena</w:t>
      </w:r>
      <w:r w:rsidR="0007581D" w:rsidRPr="00630947">
        <w:rPr>
          <w:rFonts w:ascii="Tahoma" w:hAnsi="Tahoma" w:cs="Tahoma"/>
          <w:sz w:val="20"/>
          <w:szCs w:val="20"/>
        </w:rPr>
        <w:t xml:space="preserve"> Ing. </w:t>
      </w:r>
      <w:r w:rsidR="00AA0142">
        <w:rPr>
          <w:rFonts w:ascii="Tahoma" w:hAnsi="Tahoma" w:cs="Tahoma"/>
          <w:sz w:val="20"/>
          <w:szCs w:val="20"/>
        </w:rPr>
        <w:t xml:space="preserve">Pavlem </w:t>
      </w:r>
      <w:proofErr w:type="spellStart"/>
      <w:r w:rsidR="00AA0142">
        <w:rPr>
          <w:rFonts w:ascii="Tahoma" w:hAnsi="Tahoma" w:cs="Tahoma"/>
          <w:sz w:val="20"/>
          <w:szCs w:val="20"/>
        </w:rPr>
        <w:t>Koštejnem</w:t>
      </w:r>
      <w:proofErr w:type="spellEnd"/>
      <w:r w:rsidR="0007581D" w:rsidRPr="00630947">
        <w:rPr>
          <w:rFonts w:ascii="Tahoma" w:hAnsi="Tahoma" w:cs="Tahoma"/>
          <w:sz w:val="20"/>
          <w:szCs w:val="20"/>
        </w:rPr>
        <w:t xml:space="preserve">, </w:t>
      </w:r>
      <w:r w:rsidR="00AA0142">
        <w:rPr>
          <w:rFonts w:ascii="Tahoma" w:hAnsi="Tahoma" w:cs="Tahoma"/>
          <w:sz w:val="20"/>
          <w:szCs w:val="20"/>
        </w:rPr>
        <w:t>předsedou spolku</w:t>
      </w:r>
    </w:p>
    <w:p w:rsidR="00F7343C" w:rsidRPr="00630947" w:rsidRDefault="00F7343C" w:rsidP="00630947">
      <w:pPr>
        <w:jc w:val="both"/>
        <w:rPr>
          <w:rFonts w:ascii="Tahoma" w:hAnsi="Tahoma" w:cs="Tahoma"/>
          <w:b/>
          <w:sz w:val="20"/>
          <w:szCs w:val="20"/>
        </w:rPr>
      </w:pPr>
      <w:r w:rsidRPr="00630947">
        <w:rPr>
          <w:rFonts w:ascii="Tahoma" w:hAnsi="Tahoma" w:cs="Tahoma"/>
          <w:b/>
          <w:sz w:val="20"/>
          <w:szCs w:val="20"/>
        </w:rPr>
        <w:t xml:space="preserve">jako </w:t>
      </w:r>
      <w:r w:rsidR="00E1214B">
        <w:rPr>
          <w:rFonts w:ascii="Tahoma" w:hAnsi="Tahoma" w:cs="Tahoma"/>
          <w:b/>
          <w:sz w:val="20"/>
          <w:szCs w:val="20"/>
        </w:rPr>
        <w:t>odběratel</w:t>
      </w:r>
    </w:p>
    <w:p w:rsidR="00F7343C" w:rsidRPr="00630947" w:rsidRDefault="00F7343C" w:rsidP="00630947">
      <w:pPr>
        <w:jc w:val="both"/>
        <w:rPr>
          <w:rFonts w:ascii="Tahoma" w:hAnsi="Tahoma" w:cs="Tahoma"/>
          <w:b/>
          <w:sz w:val="20"/>
          <w:szCs w:val="20"/>
        </w:rPr>
      </w:pPr>
    </w:p>
    <w:p w:rsidR="00F7343C" w:rsidRPr="00630947" w:rsidRDefault="00F7343C" w:rsidP="00630947">
      <w:pPr>
        <w:jc w:val="both"/>
        <w:rPr>
          <w:rFonts w:ascii="Tahoma" w:hAnsi="Tahoma" w:cs="Tahoma"/>
          <w:b/>
          <w:sz w:val="20"/>
          <w:szCs w:val="20"/>
        </w:rPr>
      </w:pPr>
    </w:p>
    <w:p w:rsidR="00F7343C" w:rsidRPr="00EE28F1" w:rsidRDefault="003508A3" w:rsidP="00EE28F1">
      <w:pPr>
        <w:pStyle w:val="Nadpis2"/>
        <w:spacing w:before="0" w:beforeAutospacing="0" w:after="0" w:afterAutospacing="0"/>
        <w:rPr>
          <w:rFonts w:ascii="Tahoma" w:hAnsi="Tahoma" w:cs="Tahoma"/>
          <w:color w:val="auto"/>
          <w:sz w:val="20"/>
          <w:szCs w:val="20"/>
        </w:rPr>
      </w:pPr>
      <w:r w:rsidRPr="00EE28F1">
        <w:rPr>
          <w:rFonts w:ascii="Tahoma" w:hAnsi="Tahoma" w:cs="Tahoma"/>
          <w:b/>
          <w:color w:val="auto"/>
          <w:sz w:val="20"/>
          <w:szCs w:val="20"/>
        </w:rPr>
        <w:t>Firma:</w:t>
      </w:r>
      <w:r w:rsidR="0053517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C13E21">
        <w:rPr>
          <w:rFonts w:ascii="Tahoma" w:hAnsi="Tahoma" w:cs="Tahoma"/>
          <w:b/>
          <w:color w:val="auto"/>
          <w:sz w:val="20"/>
          <w:szCs w:val="20"/>
        </w:rPr>
        <w:t>Technické služby města Liberec a.s., Erbenova 376/2, 460 08 Liberec 8, IČ:25007017</w:t>
      </w:r>
    </w:p>
    <w:p w:rsidR="00F7343C" w:rsidRPr="00630947" w:rsidRDefault="00C13E21" w:rsidP="006309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Zapsána v obchodním rejstříku vedeném u Krajského soudu v Ústí nad Labem pod č. B 877</w:t>
      </w:r>
    </w:p>
    <w:p w:rsidR="00F7343C" w:rsidRPr="00630947" w:rsidRDefault="00F7343C" w:rsidP="00630947">
      <w:pPr>
        <w:jc w:val="both"/>
        <w:rPr>
          <w:rFonts w:ascii="Tahoma" w:hAnsi="Tahoma" w:cs="Tahoma"/>
          <w:sz w:val="20"/>
          <w:szCs w:val="20"/>
        </w:rPr>
      </w:pPr>
      <w:r w:rsidRPr="00630947">
        <w:rPr>
          <w:rFonts w:ascii="Tahoma" w:hAnsi="Tahoma" w:cs="Tahoma"/>
          <w:sz w:val="20"/>
          <w:szCs w:val="20"/>
        </w:rPr>
        <w:t>Bankovní spojení:</w:t>
      </w:r>
      <w:r w:rsidR="00C13E21">
        <w:rPr>
          <w:rFonts w:ascii="Tahoma" w:hAnsi="Tahoma" w:cs="Tahoma"/>
          <w:sz w:val="20"/>
          <w:szCs w:val="20"/>
        </w:rPr>
        <w:t xml:space="preserve"> KB Liberec, </w:t>
      </w:r>
      <w:proofErr w:type="spellStart"/>
      <w:proofErr w:type="gramStart"/>
      <w:r w:rsidR="00C13E21">
        <w:rPr>
          <w:rFonts w:ascii="Tahoma" w:hAnsi="Tahoma" w:cs="Tahoma"/>
          <w:sz w:val="20"/>
          <w:szCs w:val="20"/>
        </w:rPr>
        <w:t>č.ú</w:t>
      </w:r>
      <w:proofErr w:type="spellEnd"/>
      <w:r w:rsidR="00C13E21">
        <w:rPr>
          <w:rFonts w:ascii="Tahoma" w:hAnsi="Tahoma" w:cs="Tahoma"/>
          <w:sz w:val="20"/>
          <w:szCs w:val="20"/>
        </w:rPr>
        <w:t>.: 639</w:t>
      </w:r>
      <w:proofErr w:type="gramEnd"/>
      <w:r w:rsidR="00C13E21">
        <w:rPr>
          <w:rFonts w:ascii="Tahoma" w:hAnsi="Tahoma" w:cs="Tahoma"/>
          <w:sz w:val="20"/>
          <w:szCs w:val="20"/>
        </w:rPr>
        <w:t>-461/0100</w:t>
      </w:r>
    </w:p>
    <w:p w:rsidR="00F7343C" w:rsidRPr="00630947" w:rsidRDefault="003508A3" w:rsidP="00630947">
      <w:pPr>
        <w:jc w:val="both"/>
        <w:rPr>
          <w:rFonts w:ascii="Tahoma" w:hAnsi="Tahoma" w:cs="Tahoma"/>
          <w:sz w:val="20"/>
          <w:szCs w:val="20"/>
        </w:rPr>
      </w:pPr>
      <w:r w:rsidRPr="00630947">
        <w:rPr>
          <w:rFonts w:ascii="Tahoma" w:hAnsi="Tahoma" w:cs="Tahoma"/>
          <w:sz w:val="20"/>
          <w:szCs w:val="20"/>
        </w:rPr>
        <w:t xml:space="preserve">Zastoupena: </w:t>
      </w:r>
      <w:r w:rsidR="00C13E21">
        <w:rPr>
          <w:rFonts w:ascii="Tahoma" w:hAnsi="Tahoma" w:cs="Tahoma"/>
          <w:sz w:val="20"/>
          <w:szCs w:val="20"/>
        </w:rPr>
        <w:t>Ing. Petrem Šimoníkem, předsedou představenstva</w:t>
      </w:r>
    </w:p>
    <w:p w:rsidR="00F7343C" w:rsidRPr="00630947" w:rsidRDefault="00F7343C" w:rsidP="00630947">
      <w:pPr>
        <w:jc w:val="both"/>
        <w:rPr>
          <w:rFonts w:ascii="Tahoma" w:hAnsi="Tahoma" w:cs="Tahoma"/>
          <w:b/>
          <w:sz w:val="20"/>
          <w:szCs w:val="20"/>
        </w:rPr>
      </w:pPr>
      <w:r w:rsidRPr="00630947">
        <w:rPr>
          <w:rFonts w:ascii="Tahoma" w:hAnsi="Tahoma" w:cs="Tahoma"/>
          <w:b/>
          <w:sz w:val="20"/>
          <w:szCs w:val="20"/>
        </w:rPr>
        <w:t>jako původce</w:t>
      </w:r>
    </w:p>
    <w:p w:rsidR="00F7343C" w:rsidRPr="00630947" w:rsidRDefault="001204AB" w:rsidP="00630947">
      <w:pPr>
        <w:spacing w:before="240"/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I</w:t>
      </w:r>
      <w:r w:rsidR="00F7343C" w:rsidRPr="00630947">
        <w:rPr>
          <w:rFonts w:ascii="Tahoma" w:hAnsi="Tahoma" w:cs="Tahoma"/>
          <w:b/>
          <w:sz w:val="22"/>
          <w:szCs w:val="20"/>
        </w:rPr>
        <w:t>.</w:t>
      </w:r>
    </w:p>
    <w:p w:rsidR="00F7343C" w:rsidRPr="00630947" w:rsidRDefault="00F7343C" w:rsidP="00630947">
      <w:pPr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Úvodní ustanovení</w:t>
      </w:r>
    </w:p>
    <w:p w:rsidR="001204AB" w:rsidRPr="00630947" w:rsidRDefault="00E1214B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Odběratel</w:t>
      </w:r>
      <w:r w:rsidR="001204AB" w:rsidRPr="00630947">
        <w:rPr>
          <w:rFonts w:ascii="Tahoma" w:hAnsi="Tahoma" w:cs="Tahoma"/>
          <w:sz w:val="20"/>
          <w:szCs w:val="20"/>
        </w:rPr>
        <w:t xml:space="preserve"> prohlašuje, že je podnikatelem s předmětem podnikání mimo jiné v oboru nakládání s odpady, vyjma odpadů nebezpečných a provozuje v souladu s právními předpisy zařízení pro </w:t>
      </w:r>
      <w:r>
        <w:rPr>
          <w:rFonts w:ascii="Tahoma" w:hAnsi="Tahoma" w:cs="Tahoma"/>
          <w:sz w:val="20"/>
          <w:szCs w:val="20"/>
        </w:rPr>
        <w:t>sběr a využívání</w:t>
      </w:r>
      <w:r w:rsidR="001204AB" w:rsidRPr="00630947">
        <w:rPr>
          <w:rFonts w:ascii="Tahoma" w:hAnsi="Tahoma" w:cs="Tahoma"/>
          <w:sz w:val="20"/>
          <w:szCs w:val="20"/>
        </w:rPr>
        <w:t xml:space="preserve"> biologicky rozložitelných odpadů – </w:t>
      </w:r>
      <w:r>
        <w:rPr>
          <w:rFonts w:ascii="Tahoma" w:hAnsi="Tahoma" w:cs="Tahoma"/>
          <w:sz w:val="20"/>
          <w:szCs w:val="20"/>
        </w:rPr>
        <w:t>Překladiště bioodpadů Krásná Studánka (identifikační číslo zařízení  CZL00969)</w:t>
      </w:r>
      <w:r w:rsidR="001204AB" w:rsidRPr="00630947">
        <w:rPr>
          <w:rFonts w:ascii="Tahoma" w:hAnsi="Tahoma" w:cs="Tahoma"/>
          <w:sz w:val="20"/>
          <w:szCs w:val="20"/>
        </w:rPr>
        <w:t>. Původce je pak osobou, která bioodpad produkuje a ten je vhodný pro uložení a zpracování na kompostárně. S ohledem na výše uvedené a zájem obou stran na vzájemné spolupráci dochází k uzavření této smlouvy, která vymezuje základní podmínky této spolupráce.</w:t>
      </w:r>
    </w:p>
    <w:p w:rsidR="001204AB" w:rsidRPr="00630947" w:rsidRDefault="001204AB" w:rsidP="00630947">
      <w:pPr>
        <w:spacing w:before="240"/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II.</w:t>
      </w:r>
    </w:p>
    <w:p w:rsidR="001204AB" w:rsidRPr="00630947" w:rsidRDefault="001204AB" w:rsidP="00630947">
      <w:pPr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Vymezení pojmů</w:t>
      </w:r>
    </w:p>
    <w:p w:rsidR="00C714D0" w:rsidRDefault="001204AB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30947">
        <w:rPr>
          <w:rFonts w:ascii="Tahoma" w:hAnsi="Tahoma" w:cs="Tahoma"/>
          <w:sz w:val="20"/>
          <w:szCs w:val="20"/>
        </w:rPr>
        <w:t xml:space="preserve">Bioodpadem  se rozumí, biologicky rozložitelný odpad (dále jen BRO), který lze zpracovat technologií kompostování a jeho druhy jsou podle zákona č. 185/2001 Sb. O odpadech – katalog </w:t>
      </w:r>
      <w:r w:rsidR="00EF1B3F" w:rsidRPr="00630947">
        <w:rPr>
          <w:rFonts w:ascii="Tahoma" w:hAnsi="Tahoma" w:cs="Tahoma"/>
          <w:sz w:val="20"/>
          <w:szCs w:val="20"/>
        </w:rPr>
        <w:t>podle vyhlášky MŽP č. 331/20</w:t>
      </w:r>
      <w:r w:rsidR="00C51172" w:rsidRPr="00630947">
        <w:rPr>
          <w:rFonts w:ascii="Tahoma" w:hAnsi="Tahoma" w:cs="Tahoma"/>
          <w:sz w:val="20"/>
          <w:szCs w:val="20"/>
        </w:rPr>
        <w:t xml:space="preserve">00 Sb. Rozhodnutím </w:t>
      </w:r>
      <w:r w:rsidR="00163B7A">
        <w:rPr>
          <w:rFonts w:ascii="Tahoma" w:hAnsi="Tahoma" w:cs="Tahoma"/>
          <w:sz w:val="20"/>
          <w:szCs w:val="20"/>
        </w:rPr>
        <w:t>K</w:t>
      </w:r>
      <w:r w:rsidR="00BF2182" w:rsidRPr="00630947">
        <w:rPr>
          <w:rFonts w:ascii="Tahoma" w:hAnsi="Tahoma" w:cs="Tahoma"/>
          <w:sz w:val="20"/>
          <w:szCs w:val="20"/>
        </w:rPr>
        <w:t>rajský</w:t>
      </w:r>
      <w:r w:rsidR="00EF1B3F" w:rsidRPr="00630947">
        <w:rPr>
          <w:rFonts w:ascii="Tahoma" w:hAnsi="Tahoma" w:cs="Tahoma"/>
          <w:sz w:val="20"/>
          <w:szCs w:val="20"/>
        </w:rPr>
        <w:t xml:space="preserve"> úřad </w:t>
      </w:r>
      <w:r w:rsidR="00BF2182" w:rsidRPr="00630947">
        <w:rPr>
          <w:rFonts w:ascii="Tahoma" w:hAnsi="Tahoma" w:cs="Tahoma"/>
          <w:sz w:val="20"/>
          <w:szCs w:val="20"/>
        </w:rPr>
        <w:t>Libereckého kraje</w:t>
      </w:r>
      <w:r w:rsidR="00EF1B3F" w:rsidRPr="00630947">
        <w:rPr>
          <w:rFonts w:ascii="Tahoma" w:hAnsi="Tahoma" w:cs="Tahoma"/>
          <w:sz w:val="20"/>
          <w:szCs w:val="20"/>
        </w:rPr>
        <w:t xml:space="preserve"> </w:t>
      </w:r>
      <w:r w:rsidR="00BF2182" w:rsidRPr="00630947">
        <w:rPr>
          <w:rFonts w:ascii="Tahoma" w:hAnsi="Tahoma" w:cs="Tahoma"/>
          <w:sz w:val="20"/>
          <w:szCs w:val="20"/>
        </w:rPr>
        <w:t>udělil souhlas k provozování zařízení k</w:t>
      </w:r>
      <w:r w:rsidR="00E1214B">
        <w:rPr>
          <w:rFonts w:ascii="Tahoma" w:hAnsi="Tahoma" w:cs="Tahoma"/>
          <w:sz w:val="20"/>
          <w:szCs w:val="20"/>
        </w:rPr>
        <w:t>e sběru a sběru a využívání</w:t>
      </w:r>
      <w:r w:rsidR="00BF2182" w:rsidRPr="00630947">
        <w:rPr>
          <w:rFonts w:ascii="Tahoma" w:hAnsi="Tahoma" w:cs="Tahoma"/>
          <w:sz w:val="20"/>
          <w:szCs w:val="20"/>
        </w:rPr>
        <w:t xml:space="preserve"> odpadů</w:t>
      </w:r>
      <w:r w:rsidR="00E1214B">
        <w:rPr>
          <w:rFonts w:ascii="Tahoma" w:hAnsi="Tahoma" w:cs="Tahoma"/>
          <w:sz w:val="20"/>
          <w:szCs w:val="20"/>
        </w:rPr>
        <w:t xml:space="preserve">, Překladiště bioodpadů Krásná Studánka (identifikační číslo zařízení  CZL00969), umístěného na adrese Hejnická, 460 01 Liberec, na </w:t>
      </w:r>
      <w:proofErr w:type="spellStart"/>
      <w:r w:rsidR="00E1214B">
        <w:rPr>
          <w:rFonts w:ascii="Tahoma" w:hAnsi="Tahoma" w:cs="Tahoma"/>
          <w:sz w:val="20"/>
          <w:szCs w:val="20"/>
        </w:rPr>
        <w:t>p.p.č</w:t>
      </w:r>
      <w:proofErr w:type="spellEnd"/>
      <w:r w:rsidR="00E1214B">
        <w:rPr>
          <w:rFonts w:ascii="Tahoma" w:hAnsi="Tahoma" w:cs="Tahoma"/>
          <w:sz w:val="20"/>
          <w:szCs w:val="20"/>
        </w:rPr>
        <w:t>. 570/17 a 590/8 v </w:t>
      </w:r>
      <w:proofErr w:type="spellStart"/>
      <w:proofErr w:type="gramStart"/>
      <w:r w:rsidR="00E1214B">
        <w:rPr>
          <w:rFonts w:ascii="Tahoma" w:hAnsi="Tahoma" w:cs="Tahoma"/>
          <w:sz w:val="20"/>
          <w:szCs w:val="20"/>
        </w:rPr>
        <w:t>k.</w:t>
      </w:r>
      <w:r w:rsidR="00C714D0">
        <w:rPr>
          <w:rFonts w:ascii="Tahoma" w:hAnsi="Tahoma" w:cs="Tahoma"/>
          <w:sz w:val="20"/>
          <w:szCs w:val="20"/>
        </w:rPr>
        <w:t>ú</w:t>
      </w:r>
      <w:proofErr w:type="spellEnd"/>
      <w:r w:rsidR="00C714D0">
        <w:rPr>
          <w:rFonts w:ascii="Tahoma" w:hAnsi="Tahoma" w:cs="Tahoma"/>
          <w:sz w:val="20"/>
          <w:szCs w:val="20"/>
        </w:rPr>
        <w:t>.</w:t>
      </w:r>
      <w:proofErr w:type="gramEnd"/>
      <w:r w:rsidR="00C714D0">
        <w:rPr>
          <w:rFonts w:ascii="Tahoma" w:hAnsi="Tahoma" w:cs="Tahoma"/>
          <w:sz w:val="20"/>
          <w:szCs w:val="20"/>
        </w:rPr>
        <w:t xml:space="preserve"> Krásná Studánka, kterému bylo přiděleno identifikační číslo zařízení  CZL00969.</w:t>
      </w:r>
    </w:p>
    <w:p w:rsidR="002C1FDF" w:rsidRDefault="002C1FDF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Odpady, BRO, BRKO v této smlouvě jsou myšleny pouze odpady, pro něž je zařízení určeno (viz provozní řád zařízení: např. 020103, 200138,0200201)</w:t>
      </w:r>
    </w:p>
    <w:p w:rsidR="003C4E3C" w:rsidRDefault="003C4E3C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EF1B3F" w:rsidRPr="00630947" w:rsidRDefault="00EF1B3F" w:rsidP="00630947">
      <w:pPr>
        <w:spacing w:before="240"/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III.</w:t>
      </w:r>
    </w:p>
    <w:p w:rsidR="00EF1B3F" w:rsidRPr="00630947" w:rsidRDefault="00EF1B3F" w:rsidP="00630947">
      <w:pPr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Předmět smlouvy</w:t>
      </w:r>
    </w:p>
    <w:p w:rsidR="00EF1B3F" w:rsidRPr="00630947" w:rsidRDefault="00EF1B3F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30947">
        <w:rPr>
          <w:rFonts w:ascii="Tahoma" w:hAnsi="Tahoma" w:cs="Tahoma"/>
          <w:sz w:val="20"/>
          <w:szCs w:val="20"/>
        </w:rPr>
        <w:t xml:space="preserve">Na základě této smlouvy se </w:t>
      </w:r>
      <w:r w:rsidR="00C714D0">
        <w:rPr>
          <w:rFonts w:ascii="Tahoma" w:hAnsi="Tahoma" w:cs="Tahoma"/>
          <w:sz w:val="20"/>
          <w:szCs w:val="20"/>
        </w:rPr>
        <w:t>odběratel</w:t>
      </w:r>
      <w:r w:rsidRPr="00630947">
        <w:rPr>
          <w:rFonts w:ascii="Tahoma" w:hAnsi="Tahoma" w:cs="Tahoma"/>
          <w:sz w:val="20"/>
          <w:szCs w:val="20"/>
        </w:rPr>
        <w:t xml:space="preserve"> zavazuje odebírat od původce druhy BRO dle </w:t>
      </w:r>
      <w:r w:rsidR="00AE4630">
        <w:rPr>
          <w:rFonts w:ascii="Tahoma" w:hAnsi="Tahoma" w:cs="Tahoma"/>
          <w:sz w:val="20"/>
          <w:szCs w:val="20"/>
        </w:rPr>
        <w:t>této smlouvy</w:t>
      </w:r>
      <w:r w:rsidR="00222991">
        <w:rPr>
          <w:rFonts w:ascii="Tahoma" w:hAnsi="Tahoma" w:cs="Tahoma"/>
          <w:sz w:val="20"/>
          <w:szCs w:val="20"/>
        </w:rPr>
        <w:t xml:space="preserve"> (případně od firmy zajišťující údržbu zeleně pro původce)</w:t>
      </w:r>
      <w:r w:rsidRPr="00630947">
        <w:rPr>
          <w:rFonts w:ascii="Tahoma" w:hAnsi="Tahoma" w:cs="Tahoma"/>
          <w:sz w:val="20"/>
          <w:szCs w:val="20"/>
        </w:rPr>
        <w:t xml:space="preserve">, a to až do vyčerpání </w:t>
      </w:r>
      <w:r w:rsidR="00C714D0">
        <w:rPr>
          <w:rFonts w:ascii="Tahoma" w:hAnsi="Tahoma" w:cs="Tahoma"/>
          <w:sz w:val="20"/>
          <w:szCs w:val="20"/>
        </w:rPr>
        <w:t xml:space="preserve">domluveného množství v roce 2019 </w:t>
      </w:r>
      <w:r w:rsidR="00C13E21">
        <w:rPr>
          <w:rFonts w:ascii="Tahoma" w:hAnsi="Tahoma" w:cs="Tahoma"/>
          <w:sz w:val="20"/>
          <w:szCs w:val="20"/>
        </w:rPr>
        <w:t>300t.</w:t>
      </w:r>
      <w:r w:rsidRPr="00630947">
        <w:rPr>
          <w:rFonts w:ascii="Tahoma" w:hAnsi="Tahoma" w:cs="Tahoma"/>
          <w:sz w:val="20"/>
          <w:szCs w:val="20"/>
        </w:rPr>
        <w:t xml:space="preserve"> Původce se pak zavazuje vytříděný BRO dodávat </w:t>
      </w:r>
      <w:r w:rsidR="00AA0142">
        <w:rPr>
          <w:rFonts w:ascii="Tahoma" w:hAnsi="Tahoma" w:cs="Tahoma"/>
          <w:sz w:val="20"/>
          <w:szCs w:val="20"/>
        </w:rPr>
        <w:t>odběrateli</w:t>
      </w:r>
      <w:r w:rsidRPr="00630947">
        <w:rPr>
          <w:rFonts w:ascii="Tahoma" w:hAnsi="Tahoma" w:cs="Tahoma"/>
          <w:sz w:val="20"/>
          <w:szCs w:val="20"/>
        </w:rPr>
        <w:t xml:space="preserve"> dle dohodnutého časového harmonogramu a platit mu za jeho převzetí a uložení </w:t>
      </w:r>
      <w:r w:rsidR="002C1FDF">
        <w:rPr>
          <w:rFonts w:ascii="Tahoma" w:hAnsi="Tahoma" w:cs="Tahoma"/>
          <w:sz w:val="20"/>
          <w:szCs w:val="20"/>
        </w:rPr>
        <w:t>částky dohodnuté touto smlouvou podle platného provozního řádu, který je nedílnou součástí této smlouvy.</w:t>
      </w:r>
    </w:p>
    <w:p w:rsidR="00EF1B3F" w:rsidRPr="00630947" w:rsidRDefault="00EF1B3F" w:rsidP="00630947">
      <w:pPr>
        <w:spacing w:before="240"/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IV.</w:t>
      </w:r>
    </w:p>
    <w:p w:rsidR="00EF1B3F" w:rsidRPr="00630947" w:rsidRDefault="00EF1B3F" w:rsidP="00630947">
      <w:pPr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Místo plnění</w:t>
      </w:r>
    </w:p>
    <w:p w:rsidR="00EF1B3F" w:rsidRPr="00630947" w:rsidRDefault="00934FC7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30947">
        <w:rPr>
          <w:rFonts w:ascii="Tahoma" w:hAnsi="Tahoma" w:cs="Tahoma"/>
          <w:sz w:val="20"/>
          <w:szCs w:val="20"/>
        </w:rPr>
        <w:t xml:space="preserve">BRO předává původce </w:t>
      </w:r>
      <w:r w:rsidR="00C714D0">
        <w:rPr>
          <w:rFonts w:ascii="Tahoma" w:hAnsi="Tahoma" w:cs="Tahoma"/>
          <w:sz w:val="20"/>
          <w:szCs w:val="20"/>
        </w:rPr>
        <w:t>odběrateli</w:t>
      </w:r>
      <w:r w:rsidRPr="00630947">
        <w:rPr>
          <w:rFonts w:ascii="Tahoma" w:hAnsi="Tahoma" w:cs="Tahoma"/>
          <w:sz w:val="20"/>
          <w:szCs w:val="20"/>
        </w:rPr>
        <w:t xml:space="preserve">  v objektu </w:t>
      </w:r>
      <w:r w:rsidR="00C714D0">
        <w:rPr>
          <w:rFonts w:ascii="Tahoma" w:hAnsi="Tahoma" w:cs="Tahoma"/>
          <w:sz w:val="20"/>
          <w:szCs w:val="20"/>
        </w:rPr>
        <w:t xml:space="preserve">překladiště Krásná Studánka </w:t>
      </w:r>
      <w:r w:rsidRPr="00630947">
        <w:rPr>
          <w:rFonts w:ascii="Tahoma" w:hAnsi="Tahoma" w:cs="Tahoma"/>
          <w:sz w:val="20"/>
          <w:szCs w:val="20"/>
        </w:rPr>
        <w:t xml:space="preserve">na parcele </w:t>
      </w:r>
      <w:proofErr w:type="spellStart"/>
      <w:proofErr w:type="gramStart"/>
      <w:r w:rsidR="00C714D0">
        <w:rPr>
          <w:rFonts w:ascii="Tahoma" w:hAnsi="Tahoma" w:cs="Tahoma"/>
          <w:sz w:val="20"/>
          <w:szCs w:val="20"/>
        </w:rPr>
        <w:t>p.p.</w:t>
      </w:r>
      <w:proofErr w:type="gramEnd"/>
      <w:r w:rsidR="00C714D0">
        <w:rPr>
          <w:rFonts w:ascii="Tahoma" w:hAnsi="Tahoma" w:cs="Tahoma"/>
          <w:sz w:val="20"/>
          <w:szCs w:val="20"/>
        </w:rPr>
        <w:t>č</w:t>
      </w:r>
      <w:proofErr w:type="spellEnd"/>
      <w:r w:rsidR="00C714D0">
        <w:rPr>
          <w:rFonts w:ascii="Tahoma" w:hAnsi="Tahoma" w:cs="Tahoma"/>
          <w:sz w:val="20"/>
          <w:szCs w:val="20"/>
        </w:rPr>
        <w:t>. 570/17 a 590/8</w:t>
      </w:r>
      <w:r w:rsidRPr="00630947">
        <w:rPr>
          <w:rFonts w:ascii="Tahoma" w:hAnsi="Tahoma" w:cs="Tahoma"/>
          <w:sz w:val="20"/>
          <w:szCs w:val="20"/>
        </w:rPr>
        <w:t xml:space="preserve"> a </w:t>
      </w:r>
      <w:r w:rsidR="00C714D0">
        <w:rPr>
          <w:rFonts w:ascii="Tahoma" w:hAnsi="Tahoma" w:cs="Tahoma"/>
          <w:sz w:val="20"/>
          <w:szCs w:val="20"/>
        </w:rPr>
        <w:t>odběratel</w:t>
      </w:r>
      <w:r w:rsidRPr="00630947">
        <w:rPr>
          <w:rFonts w:ascii="Tahoma" w:hAnsi="Tahoma" w:cs="Tahoma"/>
          <w:sz w:val="20"/>
          <w:szCs w:val="20"/>
        </w:rPr>
        <w:t xml:space="preserve"> tento BRO na uvedeném místě přebírá se všemi zákonnými důsledky. Obě strany jsou povinny zaznamenat a kontrolovat  údaje o každé dílčí dodávce nezbytné pro další zpracování BRO. </w:t>
      </w:r>
      <w:r w:rsidR="00C714D0">
        <w:rPr>
          <w:rFonts w:ascii="Tahoma" w:hAnsi="Tahoma" w:cs="Tahoma"/>
          <w:sz w:val="20"/>
          <w:szCs w:val="20"/>
        </w:rPr>
        <w:t>Odběratel</w:t>
      </w:r>
      <w:r w:rsidRPr="00630947">
        <w:rPr>
          <w:rFonts w:ascii="Tahoma" w:hAnsi="Tahoma" w:cs="Tahoma"/>
          <w:sz w:val="20"/>
          <w:szCs w:val="20"/>
        </w:rPr>
        <w:t xml:space="preserve"> jako provozovatel </w:t>
      </w:r>
      <w:r w:rsidR="00C714D0">
        <w:rPr>
          <w:rFonts w:ascii="Tahoma" w:hAnsi="Tahoma" w:cs="Tahoma"/>
          <w:sz w:val="20"/>
          <w:szCs w:val="20"/>
        </w:rPr>
        <w:t>překladiště</w:t>
      </w:r>
      <w:r w:rsidRPr="00630947">
        <w:rPr>
          <w:rFonts w:ascii="Tahoma" w:hAnsi="Tahoma" w:cs="Tahoma"/>
          <w:sz w:val="20"/>
          <w:szCs w:val="20"/>
        </w:rPr>
        <w:t xml:space="preserve"> je povinen vést evidenci ve smyslu vyhlášky MŽP č. 383/2001 Sb. O podrobnostech nakládání s odpady.</w:t>
      </w:r>
    </w:p>
    <w:p w:rsidR="00934FC7" w:rsidRPr="00630947" w:rsidRDefault="00934FC7" w:rsidP="00630947">
      <w:pPr>
        <w:spacing w:before="240"/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V.</w:t>
      </w:r>
    </w:p>
    <w:p w:rsidR="00934FC7" w:rsidRPr="00630947" w:rsidRDefault="00934FC7" w:rsidP="00630947">
      <w:pPr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Doba trvání smlouvy</w:t>
      </w:r>
    </w:p>
    <w:p w:rsidR="00934FC7" w:rsidRPr="00630947" w:rsidRDefault="00934FC7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30947">
        <w:rPr>
          <w:rFonts w:ascii="Tahoma" w:hAnsi="Tahoma" w:cs="Tahoma"/>
          <w:sz w:val="20"/>
          <w:szCs w:val="20"/>
        </w:rPr>
        <w:t>Tato smlouva se uzavír</w:t>
      </w:r>
      <w:r w:rsidR="00AE4630">
        <w:rPr>
          <w:rFonts w:ascii="Tahoma" w:hAnsi="Tahoma" w:cs="Tahoma"/>
          <w:sz w:val="20"/>
          <w:szCs w:val="20"/>
        </w:rPr>
        <w:t>á počínaje dnem podpisu smlouvy</w:t>
      </w:r>
      <w:r w:rsidR="00EA7BF4">
        <w:rPr>
          <w:rFonts w:ascii="Tahoma" w:hAnsi="Tahoma" w:cs="Tahoma"/>
          <w:sz w:val="20"/>
          <w:szCs w:val="20"/>
        </w:rPr>
        <w:t xml:space="preserve"> na dobu </w:t>
      </w:r>
      <w:r w:rsidR="00C714D0">
        <w:rPr>
          <w:rFonts w:ascii="Tahoma" w:hAnsi="Tahoma" w:cs="Tahoma"/>
          <w:sz w:val="20"/>
          <w:szCs w:val="20"/>
        </w:rPr>
        <w:t>určitou a to na rok 2019</w:t>
      </w:r>
      <w:r w:rsidRPr="00630947">
        <w:rPr>
          <w:rFonts w:ascii="Tahoma" w:hAnsi="Tahoma" w:cs="Tahoma"/>
          <w:sz w:val="20"/>
          <w:szCs w:val="20"/>
        </w:rPr>
        <w:t>. Každá ze stran ji může písemně vypovědět v jednoměsíční výpověd</w:t>
      </w:r>
      <w:r w:rsidR="000E3CF5">
        <w:rPr>
          <w:rFonts w:ascii="Tahoma" w:hAnsi="Tahoma" w:cs="Tahoma"/>
          <w:sz w:val="20"/>
          <w:szCs w:val="20"/>
        </w:rPr>
        <w:t>ní době, která se počítá od prv</w:t>
      </w:r>
      <w:r w:rsidRPr="00630947">
        <w:rPr>
          <w:rFonts w:ascii="Tahoma" w:hAnsi="Tahoma" w:cs="Tahoma"/>
          <w:sz w:val="20"/>
          <w:szCs w:val="20"/>
        </w:rPr>
        <w:t>ého dne měsíce následujícího po doručení výpovědi adresátovi. Smlouvu lze též ukončit dohodou stran ke sjednanému datu či odstoupením od smlouvy pro závažné porušení smlouvy s účinností jeho oznámení druhé straně.</w:t>
      </w:r>
    </w:p>
    <w:p w:rsidR="00934FC7" w:rsidRPr="00630947" w:rsidRDefault="00934FC7" w:rsidP="00630947">
      <w:pPr>
        <w:spacing w:before="240"/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lastRenderedPageBreak/>
        <w:t>VI.</w:t>
      </w:r>
    </w:p>
    <w:p w:rsidR="00934FC7" w:rsidRPr="00630947" w:rsidRDefault="00934FC7" w:rsidP="00630947">
      <w:pPr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Cena služeb a platební podmínky</w:t>
      </w:r>
    </w:p>
    <w:p w:rsidR="00AE4630" w:rsidRDefault="00AE4630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E3CF5">
        <w:rPr>
          <w:rFonts w:ascii="Tahoma" w:hAnsi="Tahoma" w:cs="Tahoma"/>
          <w:sz w:val="20"/>
          <w:szCs w:val="20"/>
        </w:rPr>
        <w:t>Cena se sjednává formou smluvní ceny v souladu se zákonem o cenách č. 526/1990 Sb.</w:t>
      </w:r>
      <w:r w:rsidR="00C714D0">
        <w:rPr>
          <w:rFonts w:ascii="Tahoma" w:hAnsi="Tahoma" w:cs="Tahoma"/>
          <w:sz w:val="20"/>
          <w:szCs w:val="20"/>
        </w:rPr>
        <w:t xml:space="preserve"> a to ve výši </w:t>
      </w:r>
      <w:r w:rsidR="00C13E21">
        <w:rPr>
          <w:rFonts w:ascii="Tahoma" w:hAnsi="Tahoma" w:cs="Tahoma"/>
          <w:sz w:val="20"/>
          <w:szCs w:val="20"/>
        </w:rPr>
        <w:t>………</w:t>
      </w:r>
      <w:r w:rsidR="00C714D0">
        <w:rPr>
          <w:rFonts w:ascii="Tahoma" w:hAnsi="Tahoma" w:cs="Tahoma"/>
          <w:sz w:val="20"/>
          <w:szCs w:val="20"/>
        </w:rPr>
        <w:t xml:space="preserve"> BRO bez DPH</w:t>
      </w:r>
      <w:r w:rsidRPr="000E3CF5">
        <w:rPr>
          <w:rFonts w:ascii="Tahoma" w:hAnsi="Tahoma" w:cs="Tahoma"/>
          <w:sz w:val="20"/>
          <w:szCs w:val="20"/>
        </w:rPr>
        <w:t>.</w:t>
      </w:r>
      <w:r w:rsidR="007E7AB7">
        <w:rPr>
          <w:rFonts w:ascii="Tahoma" w:hAnsi="Tahoma" w:cs="Tahoma"/>
          <w:sz w:val="20"/>
          <w:szCs w:val="20"/>
        </w:rPr>
        <w:t xml:space="preserve"> Faktury budou vystavovány </w:t>
      </w:r>
      <w:r w:rsidR="00C86147">
        <w:rPr>
          <w:rFonts w:ascii="Tahoma" w:hAnsi="Tahoma" w:cs="Tahoma"/>
          <w:sz w:val="20"/>
          <w:szCs w:val="20"/>
        </w:rPr>
        <w:t xml:space="preserve">na konci daného měsíce se splatností 10 kalendářních dnů od vystavení a to </w:t>
      </w:r>
      <w:r w:rsidR="007E7AB7">
        <w:rPr>
          <w:rFonts w:ascii="Tahoma" w:hAnsi="Tahoma" w:cs="Tahoma"/>
          <w:sz w:val="20"/>
          <w:szCs w:val="20"/>
        </w:rPr>
        <w:t>vždy za daný kalendářní měsíc</w:t>
      </w:r>
      <w:r w:rsidR="00C86147">
        <w:rPr>
          <w:rFonts w:ascii="Tahoma" w:hAnsi="Tahoma" w:cs="Tahoma"/>
          <w:sz w:val="20"/>
          <w:szCs w:val="20"/>
        </w:rPr>
        <w:t>. Faktury (daňový doklad) budou zasílány v elektronické formě (formát PDF) na e-mailovou adresu………………………………………… s tím, že původce tuto formu akceptuje.</w:t>
      </w:r>
    </w:p>
    <w:p w:rsidR="00A22463" w:rsidRPr="000E3CF5" w:rsidRDefault="00A22463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Dopravu </w:t>
      </w:r>
      <w:r w:rsidR="00C714D0">
        <w:rPr>
          <w:rFonts w:ascii="Tahoma" w:hAnsi="Tahoma" w:cs="Tahoma"/>
          <w:sz w:val="20"/>
          <w:szCs w:val="20"/>
        </w:rPr>
        <w:t xml:space="preserve">na překladiště </w:t>
      </w:r>
      <w:r>
        <w:rPr>
          <w:rFonts w:ascii="Tahoma" w:hAnsi="Tahoma" w:cs="Tahoma"/>
          <w:sz w:val="20"/>
          <w:szCs w:val="20"/>
        </w:rPr>
        <w:t>zajišťuje původce BRO.</w:t>
      </w:r>
    </w:p>
    <w:p w:rsidR="00C86147" w:rsidRPr="000E3CF5" w:rsidRDefault="00AE4630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E3CF5">
        <w:rPr>
          <w:rFonts w:ascii="Tahoma" w:hAnsi="Tahoma" w:cs="Tahoma"/>
          <w:sz w:val="20"/>
          <w:szCs w:val="20"/>
        </w:rPr>
        <w:t>Pro případ vzniku prodlení objednavatele se zaplacením ceny za službu provedenou podle této smlouvy a její platné přílohy, kdy vyúčtování bylo provedeno daňovým dokladem, ujednává se právo zhotovitele na uplatnění smluvního úroku z prodlení ve výši 0,03% z dlužné částky a den.</w:t>
      </w:r>
    </w:p>
    <w:p w:rsidR="00AA3273" w:rsidRPr="00630947" w:rsidRDefault="00AA3273" w:rsidP="00630947">
      <w:pPr>
        <w:spacing w:before="240"/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VII.</w:t>
      </w:r>
    </w:p>
    <w:p w:rsidR="00AA3273" w:rsidRPr="00630947" w:rsidRDefault="00AA3273" w:rsidP="00630947">
      <w:pPr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Další ujednání</w:t>
      </w:r>
    </w:p>
    <w:p w:rsidR="00AA3273" w:rsidRDefault="002E1DEC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Původce je povinen </w:t>
      </w:r>
      <w:r w:rsidR="001E32F0">
        <w:rPr>
          <w:rFonts w:ascii="Tahoma" w:hAnsi="Tahoma" w:cs="Tahoma"/>
          <w:sz w:val="20"/>
          <w:szCs w:val="20"/>
        </w:rPr>
        <w:t>předem seznámit všechny své pracovníky, kteří budou vstupovat na výše uvedené překladiště, s provozním řádem překladiště.</w:t>
      </w:r>
    </w:p>
    <w:p w:rsidR="007E7AB7" w:rsidRDefault="001E32F0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Překladiště bioodpadů Krásná Studánka není vybaveno mostovou váhou, proto původce je povinen v souladu s provozním řádem zajistit vážení na úředně ověřené externí váze, pokud se smluvní strany písemně nedohod</w:t>
      </w:r>
      <w:r w:rsidR="007E7AB7">
        <w:rPr>
          <w:rFonts w:ascii="Tahoma" w:hAnsi="Tahoma" w:cs="Tahoma"/>
          <w:sz w:val="20"/>
          <w:szCs w:val="20"/>
        </w:rPr>
        <w:t>nou</w:t>
      </w:r>
      <w:r>
        <w:rPr>
          <w:rFonts w:ascii="Tahoma" w:hAnsi="Tahoma" w:cs="Tahoma"/>
          <w:sz w:val="20"/>
          <w:szCs w:val="20"/>
        </w:rPr>
        <w:t xml:space="preserve"> jinak. Vážní lístky </w:t>
      </w:r>
      <w:r w:rsidR="007E7AB7">
        <w:rPr>
          <w:rFonts w:ascii="Tahoma" w:hAnsi="Tahoma" w:cs="Tahoma"/>
          <w:sz w:val="20"/>
          <w:szCs w:val="20"/>
        </w:rPr>
        <w:t xml:space="preserve">z úředně ověřené externí váhy </w:t>
      </w:r>
      <w:r>
        <w:rPr>
          <w:rFonts w:ascii="Tahoma" w:hAnsi="Tahoma" w:cs="Tahoma"/>
          <w:sz w:val="20"/>
          <w:szCs w:val="20"/>
        </w:rPr>
        <w:t xml:space="preserve">budou před předáním </w:t>
      </w:r>
      <w:r w:rsidR="007E7AB7">
        <w:rPr>
          <w:rFonts w:ascii="Tahoma" w:hAnsi="Tahoma" w:cs="Tahoma"/>
          <w:sz w:val="20"/>
          <w:szCs w:val="20"/>
        </w:rPr>
        <w:t xml:space="preserve">bioodpady </w:t>
      </w:r>
      <w:r>
        <w:rPr>
          <w:rFonts w:ascii="Tahoma" w:hAnsi="Tahoma" w:cs="Tahoma"/>
          <w:sz w:val="20"/>
          <w:szCs w:val="20"/>
        </w:rPr>
        <w:t xml:space="preserve">zaslány elektronicky na </w:t>
      </w:r>
      <w:r w:rsidR="007E7AB7">
        <w:rPr>
          <w:rFonts w:ascii="Tahoma" w:hAnsi="Tahoma" w:cs="Tahoma"/>
          <w:sz w:val="20"/>
          <w:szCs w:val="20"/>
        </w:rPr>
        <w:t xml:space="preserve">mailovou adresu </w:t>
      </w:r>
      <w:hyperlink r:id="rId5" w:history="1">
        <w:r w:rsidR="00C86147" w:rsidRPr="00224E88">
          <w:rPr>
            <w:rStyle w:val="Hypertextovodkaz"/>
            <w:rFonts w:ascii="Tahoma" w:hAnsi="Tahoma" w:cs="Tahoma"/>
            <w:sz w:val="20"/>
            <w:szCs w:val="20"/>
          </w:rPr>
          <w:t>recepce@sapmimon.cz</w:t>
        </w:r>
      </w:hyperlink>
      <w:r w:rsidR="007E7AB7">
        <w:rPr>
          <w:rFonts w:ascii="Tahoma" w:hAnsi="Tahoma" w:cs="Tahoma"/>
          <w:sz w:val="20"/>
          <w:szCs w:val="20"/>
        </w:rPr>
        <w:t>. Je možné také zvolit variantu vážení daného bioodpadu na koncovém zařízení (kompostárně), které bude původce akceptovat.</w:t>
      </w:r>
      <w:r w:rsidR="00C86147">
        <w:rPr>
          <w:rFonts w:ascii="Tahoma" w:hAnsi="Tahoma" w:cs="Tahoma"/>
          <w:sz w:val="20"/>
          <w:szCs w:val="20"/>
        </w:rPr>
        <w:t xml:space="preserve"> Odběratel vydá původci potvrzení o dodávce přijatého odpadu dle </w:t>
      </w:r>
      <w:r w:rsidR="003C4E3C">
        <w:rPr>
          <w:rFonts w:ascii="Tahoma" w:hAnsi="Tahoma" w:cs="Tahoma"/>
          <w:sz w:val="20"/>
          <w:szCs w:val="20"/>
        </w:rPr>
        <w:t>tohoto</w:t>
      </w:r>
      <w:r w:rsidR="00C86147">
        <w:rPr>
          <w:rFonts w:ascii="Tahoma" w:hAnsi="Tahoma" w:cs="Tahoma"/>
          <w:sz w:val="20"/>
          <w:szCs w:val="20"/>
        </w:rPr>
        <w:t xml:space="preserve"> odstavce a to vždy na konci měsíce.</w:t>
      </w:r>
    </w:p>
    <w:p w:rsidR="003C4E3C" w:rsidRDefault="003C4E3C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 předáním bioodpadu je původce povinen provést vizuá</w:t>
      </w:r>
      <w:r w:rsidR="008B26EF">
        <w:rPr>
          <w:rFonts w:ascii="Tahoma" w:hAnsi="Tahoma" w:cs="Tahoma"/>
          <w:sz w:val="20"/>
          <w:szCs w:val="20"/>
        </w:rPr>
        <w:t>lní kontrolu předávaného odpadu, že se skutečně jedná o odpad, který je možné předat na překladiště v souladu s provozním předpisem.</w:t>
      </w:r>
    </w:p>
    <w:p w:rsidR="008B26EF" w:rsidRPr="00630947" w:rsidRDefault="008B26EF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Původce obdržel pro možnost odemykání a zamykání vstupní závory na překladiště klíč. Při odjezdu z překladiště je nutné, aby příslušný pracovník původce vždy při opuštění překladiště závoru uzamkl.</w:t>
      </w:r>
    </w:p>
    <w:p w:rsidR="00AA3273" w:rsidRPr="00630947" w:rsidRDefault="00AA3273" w:rsidP="00630947">
      <w:pPr>
        <w:spacing w:before="240"/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VIII.</w:t>
      </w:r>
    </w:p>
    <w:p w:rsidR="00AA3273" w:rsidRPr="00630947" w:rsidRDefault="00AA3273" w:rsidP="00630947">
      <w:pPr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Odpovědnost za škody</w:t>
      </w:r>
    </w:p>
    <w:p w:rsidR="00AA3273" w:rsidRPr="00630947" w:rsidRDefault="00AA3273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30947">
        <w:rPr>
          <w:rFonts w:ascii="Tahoma" w:hAnsi="Tahoma" w:cs="Tahoma"/>
          <w:sz w:val="20"/>
          <w:szCs w:val="20"/>
        </w:rPr>
        <w:t>Původce odpovídá za kvalitativní  kritéria BRO, tak jak jsou vymeze</w:t>
      </w:r>
      <w:r w:rsidR="000E3CF5">
        <w:rPr>
          <w:rFonts w:ascii="Tahoma" w:hAnsi="Tahoma" w:cs="Tahoma"/>
          <w:sz w:val="20"/>
          <w:szCs w:val="20"/>
        </w:rPr>
        <w:t>ny v čl. II. t</w:t>
      </w:r>
      <w:r w:rsidRPr="00630947">
        <w:rPr>
          <w:rFonts w:ascii="Tahoma" w:hAnsi="Tahoma" w:cs="Tahoma"/>
          <w:sz w:val="20"/>
          <w:szCs w:val="20"/>
        </w:rPr>
        <w:t>éto smlouvy. Pokud BRO těmto kritériím neodpovídá, resp.</w:t>
      </w:r>
      <w:r w:rsidR="0084521E" w:rsidRPr="00630947">
        <w:rPr>
          <w:rFonts w:ascii="Tahoma" w:hAnsi="Tahoma" w:cs="Tahoma"/>
          <w:sz w:val="20"/>
          <w:szCs w:val="20"/>
        </w:rPr>
        <w:t xml:space="preserve"> j</w:t>
      </w:r>
      <w:r w:rsidR="001068F4" w:rsidRPr="00630947">
        <w:rPr>
          <w:rFonts w:ascii="Tahoma" w:hAnsi="Tahoma" w:cs="Tahoma"/>
          <w:sz w:val="20"/>
          <w:szCs w:val="20"/>
        </w:rPr>
        <w:t xml:space="preserve">e znehodnocen závadnými látkami, nesmí původce takový odpad </w:t>
      </w:r>
      <w:r w:rsidR="00AA0142">
        <w:rPr>
          <w:rFonts w:ascii="Tahoma" w:hAnsi="Tahoma" w:cs="Tahoma"/>
          <w:sz w:val="20"/>
          <w:szCs w:val="20"/>
        </w:rPr>
        <w:t>odběrateli</w:t>
      </w:r>
      <w:r w:rsidR="001068F4" w:rsidRPr="00630947">
        <w:rPr>
          <w:rFonts w:ascii="Tahoma" w:hAnsi="Tahoma" w:cs="Tahoma"/>
          <w:sz w:val="20"/>
          <w:szCs w:val="20"/>
        </w:rPr>
        <w:t xml:space="preserve"> dodat. V případě porušení této povinnosti odpovídá za vzniklé škody.</w:t>
      </w:r>
    </w:p>
    <w:p w:rsidR="001068F4" w:rsidRPr="00630947" w:rsidRDefault="001068F4" w:rsidP="00630947">
      <w:pPr>
        <w:spacing w:before="240"/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IX.</w:t>
      </w:r>
    </w:p>
    <w:p w:rsidR="001068F4" w:rsidRPr="00630947" w:rsidRDefault="001068F4" w:rsidP="00630947">
      <w:pPr>
        <w:jc w:val="center"/>
        <w:rPr>
          <w:rFonts w:ascii="Tahoma" w:hAnsi="Tahoma" w:cs="Tahoma"/>
          <w:b/>
          <w:sz w:val="22"/>
          <w:szCs w:val="20"/>
        </w:rPr>
      </w:pPr>
      <w:r w:rsidRPr="00630947">
        <w:rPr>
          <w:rFonts w:ascii="Tahoma" w:hAnsi="Tahoma" w:cs="Tahoma"/>
          <w:b/>
          <w:sz w:val="22"/>
          <w:szCs w:val="20"/>
        </w:rPr>
        <w:t>Závěrečná ustanovení</w:t>
      </w:r>
    </w:p>
    <w:p w:rsidR="001068F4" w:rsidRPr="00630947" w:rsidRDefault="001068F4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30947">
        <w:rPr>
          <w:rFonts w:ascii="Tahoma" w:hAnsi="Tahoma" w:cs="Tahoma"/>
          <w:sz w:val="20"/>
          <w:szCs w:val="20"/>
        </w:rPr>
        <w:t>Tato smlouva je vyhotovena ve dvou stejnopisech, z nichž každá ze stran obdrží po jednom.</w:t>
      </w:r>
      <w:r w:rsidR="00630947">
        <w:rPr>
          <w:rFonts w:ascii="Tahoma" w:hAnsi="Tahoma" w:cs="Tahoma"/>
          <w:sz w:val="20"/>
          <w:szCs w:val="20"/>
        </w:rPr>
        <w:t xml:space="preserve"> </w:t>
      </w:r>
      <w:r w:rsidRPr="00630947">
        <w:rPr>
          <w:rFonts w:ascii="Tahoma" w:hAnsi="Tahoma" w:cs="Tahoma"/>
          <w:sz w:val="20"/>
          <w:szCs w:val="20"/>
        </w:rPr>
        <w:t>Tato smlouva je smlouvou smíšenou a řídí se obchodním zákoníkem</w:t>
      </w:r>
      <w:r w:rsidR="00AA0142">
        <w:rPr>
          <w:rFonts w:ascii="Tahoma" w:hAnsi="Tahoma" w:cs="Tahoma"/>
          <w:sz w:val="20"/>
          <w:szCs w:val="20"/>
        </w:rPr>
        <w:t xml:space="preserve"> </w:t>
      </w:r>
      <w:r w:rsidRPr="00630947">
        <w:rPr>
          <w:rFonts w:ascii="Tahoma" w:hAnsi="Tahoma" w:cs="Tahoma"/>
          <w:sz w:val="20"/>
          <w:szCs w:val="20"/>
        </w:rPr>
        <w:t>(přiměřeně ustanoveními o smlouvě o dílo) a občanským zákoníkem (smlouvou o nájmu), není-li výše uvedeno jinak.</w:t>
      </w:r>
    </w:p>
    <w:p w:rsidR="00946DE8" w:rsidRPr="00630947" w:rsidRDefault="00946DE8" w:rsidP="0063094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30947">
        <w:rPr>
          <w:rFonts w:ascii="Tahoma" w:hAnsi="Tahoma" w:cs="Tahoma"/>
          <w:sz w:val="20"/>
          <w:szCs w:val="20"/>
        </w:rPr>
        <w:t>Tato smlouva nabývá platnosti a účinnosti dnem jejího podpisu oběma účastníky.</w:t>
      </w:r>
    </w:p>
    <w:p w:rsidR="00946DE8" w:rsidRDefault="00946DE8" w:rsidP="001068F4"/>
    <w:p w:rsidR="00946DE8" w:rsidRDefault="00946DE8" w:rsidP="00946DE8">
      <w:r>
        <w:t>V ……………</w:t>
      </w:r>
      <w:proofErr w:type="gramStart"/>
      <w:r>
        <w:t>…</w:t>
      </w:r>
      <w:proofErr w:type="gramEnd"/>
      <w:r>
        <w:t xml:space="preserve">.  </w:t>
      </w:r>
      <w:proofErr w:type="gramStart"/>
      <w:r>
        <w:t>dne</w:t>
      </w:r>
      <w:proofErr w:type="gramEnd"/>
      <w:r>
        <w:t>………………</w:t>
      </w:r>
      <w:r>
        <w:tab/>
      </w:r>
      <w:r>
        <w:tab/>
        <w:t xml:space="preserve">       V ……………</w:t>
      </w:r>
      <w:proofErr w:type="gramStart"/>
      <w:r>
        <w:t>…</w:t>
      </w:r>
      <w:proofErr w:type="gramEnd"/>
      <w:r>
        <w:t xml:space="preserve">.  </w:t>
      </w:r>
      <w:proofErr w:type="gramStart"/>
      <w:r>
        <w:t>dne</w:t>
      </w:r>
      <w:proofErr w:type="gramEnd"/>
      <w:r>
        <w:t>………………</w:t>
      </w:r>
    </w:p>
    <w:p w:rsidR="00946DE8" w:rsidRDefault="00946DE8" w:rsidP="001068F4"/>
    <w:p w:rsidR="00946DE8" w:rsidRDefault="00946DE8" w:rsidP="001068F4"/>
    <w:p w:rsidR="00FB38D1" w:rsidRDefault="00FB38D1" w:rsidP="001068F4"/>
    <w:p w:rsidR="00946DE8" w:rsidRDefault="00946DE8" w:rsidP="00946DE8">
      <w:r>
        <w:t>-----------------------------------------------                         -----------------------------------------------</w:t>
      </w:r>
    </w:p>
    <w:p w:rsidR="00946DE8" w:rsidRDefault="00946DE8" w:rsidP="001068F4">
      <w:r>
        <w:t xml:space="preserve">                      </w:t>
      </w:r>
      <w:r w:rsidR="00AA0142">
        <w:t>Odběratel</w:t>
      </w:r>
      <w:r>
        <w:t xml:space="preserve">                                                                          Původce</w:t>
      </w:r>
    </w:p>
    <w:p w:rsidR="00AA0142" w:rsidRDefault="00AA0142" w:rsidP="001068F4">
      <w:r>
        <w:t>Nedílnou součástí smlouvy jsou:</w:t>
      </w:r>
    </w:p>
    <w:p w:rsidR="00AA0142" w:rsidRDefault="00AA0142" w:rsidP="00AA0142">
      <w:pPr>
        <w:pStyle w:val="Odstavecseseznamem"/>
        <w:numPr>
          <w:ilvl w:val="0"/>
          <w:numId w:val="3"/>
        </w:numPr>
      </w:pPr>
      <w:r>
        <w:t>Provozní řád „Překladiště bioodpadů Krásná Studánka“ schválený KU Libereckého kraje</w:t>
      </w:r>
    </w:p>
    <w:p w:rsidR="00AA0142" w:rsidRDefault="00AA0142" w:rsidP="00AA0142">
      <w:pPr>
        <w:pStyle w:val="Odstavecseseznamem"/>
        <w:numPr>
          <w:ilvl w:val="0"/>
          <w:numId w:val="3"/>
        </w:numPr>
      </w:pPr>
      <w:r>
        <w:t>Rozhodnutí KU Libereckého kraje</w:t>
      </w:r>
      <w:r w:rsidR="00F76F6A">
        <w:t xml:space="preserve"> o udělení souhlasu k provozov</w:t>
      </w:r>
      <w:r w:rsidR="002E1DEC">
        <w:t>ání překladiště Krásná Studánka (</w:t>
      </w:r>
      <w:proofErr w:type="gramStart"/>
      <w:r w:rsidR="002E1DEC">
        <w:t>č.j.</w:t>
      </w:r>
      <w:proofErr w:type="gramEnd"/>
      <w:r w:rsidR="002E1DEC">
        <w:t xml:space="preserve"> KULK 17072/2019) ze dne 1.3.2019</w:t>
      </w:r>
      <w:bookmarkStart w:id="0" w:name="_GoBack"/>
      <w:bookmarkEnd w:id="0"/>
    </w:p>
    <w:p w:rsidR="002E1DEC" w:rsidRDefault="002E1DEC" w:rsidP="00AA0142">
      <w:pPr>
        <w:pStyle w:val="Odstavecseseznamem"/>
        <w:numPr>
          <w:ilvl w:val="0"/>
          <w:numId w:val="3"/>
        </w:numPr>
      </w:pPr>
      <w:r>
        <w:t>Nákres překladiště s vyznačení plochy určené pro skládání BRO původce</w:t>
      </w:r>
    </w:p>
    <w:sectPr w:rsidR="002E1DEC" w:rsidSect="00630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Bold Ital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0BB"/>
    <w:multiLevelType w:val="hybridMultilevel"/>
    <w:tmpl w:val="ED44FFB8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0D4"/>
    <w:multiLevelType w:val="hybridMultilevel"/>
    <w:tmpl w:val="ADE0E8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B1F80"/>
    <w:multiLevelType w:val="hybridMultilevel"/>
    <w:tmpl w:val="9496A3F0"/>
    <w:lvl w:ilvl="0" w:tplc="7340C9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Palatino Bold Italic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3C"/>
    <w:rsid w:val="0007581D"/>
    <w:rsid w:val="000E3CF5"/>
    <w:rsid w:val="001068F4"/>
    <w:rsid w:val="001204AB"/>
    <w:rsid w:val="00163B7A"/>
    <w:rsid w:val="001E32F0"/>
    <w:rsid w:val="001F4BB9"/>
    <w:rsid w:val="00222991"/>
    <w:rsid w:val="00231582"/>
    <w:rsid w:val="002C1FDF"/>
    <w:rsid w:val="002E1DEC"/>
    <w:rsid w:val="00327DA7"/>
    <w:rsid w:val="00347E8C"/>
    <w:rsid w:val="003508A3"/>
    <w:rsid w:val="003C4E3C"/>
    <w:rsid w:val="00404C5F"/>
    <w:rsid w:val="00436FFD"/>
    <w:rsid w:val="004B0E6C"/>
    <w:rsid w:val="00527159"/>
    <w:rsid w:val="0053517D"/>
    <w:rsid w:val="005739DC"/>
    <w:rsid w:val="005D4120"/>
    <w:rsid w:val="00630947"/>
    <w:rsid w:val="00697D93"/>
    <w:rsid w:val="006F3BD3"/>
    <w:rsid w:val="007E7AB7"/>
    <w:rsid w:val="0084521E"/>
    <w:rsid w:val="008827FB"/>
    <w:rsid w:val="008B26EF"/>
    <w:rsid w:val="00934FC7"/>
    <w:rsid w:val="00946DE8"/>
    <w:rsid w:val="009D54CD"/>
    <w:rsid w:val="00A22463"/>
    <w:rsid w:val="00AA0142"/>
    <w:rsid w:val="00AA3273"/>
    <w:rsid w:val="00AE4630"/>
    <w:rsid w:val="00AF15A5"/>
    <w:rsid w:val="00B31926"/>
    <w:rsid w:val="00BF2182"/>
    <w:rsid w:val="00C13E21"/>
    <w:rsid w:val="00C51172"/>
    <w:rsid w:val="00C714D0"/>
    <w:rsid w:val="00C80EA3"/>
    <w:rsid w:val="00C86147"/>
    <w:rsid w:val="00CC5DE4"/>
    <w:rsid w:val="00CE6D82"/>
    <w:rsid w:val="00E1214B"/>
    <w:rsid w:val="00EA7BF4"/>
    <w:rsid w:val="00EE28F1"/>
    <w:rsid w:val="00EF1B3F"/>
    <w:rsid w:val="00F7343C"/>
    <w:rsid w:val="00F76F6A"/>
    <w:rsid w:val="00F95902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6A36D"/>
  <w15:docId w15:val="{B77EECE2-C8C7-41EB-BE02-A00DD58B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DA7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E28F1"/>
    <w:pPr>
      <w:spacing w:before="100" w:beforeAutospacing="1" w:after="100" w:afterAutospacing="1"/>
      <w:outlineLvl w:val="1"/>
    </w:pPr>
    <w:rPr>
      <w:color w:val="C73F33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rsid w:val="0084521E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EE28F1"/>
    <w:rPr>
      <w:color w:val="C73F33"/>
      <w:sz w:val="43"/>
      <w:szCs w:val="43"/>
    </w:rPr>
  </w:style>
  <w:style w:type="character" w:styleId="Hypertextovodkaz">
    <w:name w:val="Hyperlink"/>
    <w:basedOn w:val="Standardnpsmoodstavce"/>
    <w:uiPriority w:val="99"/>
    <w:unhideWhenUsed/>
    <w:rsid w:val="00AA01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142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AF15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F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ce@sapmim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User</dc:creator>
  <cp:keywords/>
  <cp:lastModifiedBy>Plívová Petra</cp:lastModifiedBy>
  <cp:revision>7</cp:revision>
  <cp:lastPrinted>2019-03-29T07:06:00Z</cp:lastPrinted>
  <dcterms:created xsi:type="dcterms:W3CDTF">2019-03-29T06:50:00Z</dcterms:created>
  <dcterms:modified xsi:type="dcterms:W3CDTF">2019-08-13T13:29:00Z</dcterms:modified>
</cp:coreProperties>
</file>