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D7466" w14:textId="77777777" w:rsidR="00FA3803" w:rsidRDefault="006E5543">
      <w:pPr>
        <w:spacing w:after="0" w:line="216" w:lineRule="auto"/>
        <w:ind w:left="0" w:firstLine="0"/>
        <w:jc w:val="center"/>
      </w:pPr>
      <w:r>
        <w:rPr>
          <w:sz w:val="38"/>
        </w:rPr>
        <w:t>Dodatek č. 2 ke</w:t>
      </w:r>
    </w:p>
    <w:p w14:paraId="28E73A28" w14:textId="77777777" w:rsidR="00FA3803" w:rsidRDefault="00FA3803">
      <w:pPr>
        <w:sectPr w:rsidR="00FA3803">
          <w:pgSz w:w="12403" w:h="17186"/>
          <w:pgMar w:top="2045" w:right="5373" w:bottom="1191" w:left="5138" w:header="708" w:footer="708" w:gutter="0"/>
          <w:cols w:space="708"/>
        </w:sectPr>
      </w:pPr>
    </w:p>
    <w:p w14:paraId="49AEE6D9" w14:textId="77777777" w:rsidR="00FA3803" w:rsidRDefault="006E5543">
      <w:pPr>
        <w:ind w:left="528" w:right="4" w:hanging="514"/>
      </w:pPr>
      <w:r>
        <w:t>KHSUL 23180/2019 khsues1225194</w:t>
      </w:r>
    </w:p>
    <w:p w14:paraId="55DAF643" w14:textId="77777777" w:rsidR="00FA3803" w:rsidRDefault="006E5543">
      <w:pPr>
        <w:spacing w:after="58" w:line="259" w:lineRule="auto"/>
        <w:ind w:left="432" w:right="-307" w:firstLine="0"/>
        <w:jc w:val="left"/>
      </w:pPr>
      <w:r>
        <w:rPr>
          <w:noProof/>
        </w:rPr>
        <w:drawing>
          <wp:inline distT="0" distB="0" distL="0" distR="0" wp14:anchorId="01EE259D" wp14:editId="2825AD50">
            <wp:extent cx="1631285" cy="274352"/>
            <wp:effectExtent l="0" t="0" r="0" b="0"/>
            <wp:docPr id="2255" name="Picture 2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" name="Picture 22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1285" cy="27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6439A" w14:textId="77777777" w:rsidR="00FA3803" w:rsidRDefault="006E5543">
      <w:pPr>
        <w:spacing w:after="0" w:line="259" w:lineRule="auto"/>
        <w:ind w:left="0" w:firstLine="0"/>
        <w:jc w:val="right"/>
      </w:pPr>
      <w:r>
        <w:rPr>
          <w:sz w:val="30"/>
        </w:rPr>
        <w:t>ZUCRP@ô2RIBM</w:t>
      </w:r>
    </w:p>
    <w:p w14:paraId="72FC4DEC" w14:textId="77777777" w:rsidR="00FA3803" w:rsidRDefault="00FA3803">
      <w:pPr>
        <w:sectPr w:rsidR="00FA3803">
          <w:type w:val="continuous"/>
          <w:pgSz w:w="12403" w:h="17186"/>
          <w:pgMar w:top="1555" w:right="1104" w:bottom="1191" w:left="8605" w:header="708" w:footer="708" w:gutter="0"/>
          <w:cols w:space="708"/>
        </w:sectPr>
      </w:pPr>
    </w:p>
    <w:p w14:paraId="544654EA" w14:textId="77777777" w:rsidR="00FA3803" w:rsidRDefault="006E5543">
      <w:pPr>
        <w:spacing w:after="180" w:line="231" w:lineRule="auto"/>
        <w:ind w:left="3208" w:right="346" w:hanging="2396"/>
        <w:jc w:val="left"/>
      </w:pPr>
      <w:r>
        <w:rPr>
          <w:sz w:val="38"/>
        </w:rPr>
        <w:t>Smlouvě o úhradě nákladů za poskytované služby ze dne 24. 5. 2004</w:t>
      </w:r>
    </w:p>
    <w:p w14:paraId="29346A5A" w14:textId="77777777" w:rsidR="00FA3803" w:rsidRDefault="006E5543">
      <w:pPr>
        <w:spacing w:after="0" w:line="259" w:lineRule="auto"/>
        <w:ind w:hanging="10"/>
        <w:jc w:val="left"/>
      </w:pPr>
      <w:r>
        <w:rPr>
          <w:sz w:val="26"/>
        </w:rPr>
        <w:t>Česká republika — Krajská hygienická stanice Ústeckého kraje se sídlem v Ústí nad</w:t>
      </w:r>
    </w:p>
    <w:p w14:paraId="5AE0D443" w14:textId="77777777" w:rsidR="00FA3803" w:rsidRDefault="006E5543">
      <w:pPr>
        <w:ind w:left="19" w:right="4533"/>
      </w:pPr>
      <w:r>
        <w:t xml:space="preserve">Labem se sídlem Moskevská 1531/15, Ústí nad Labem </w:t>
      </w:r>
      <w:proofErr w:type="spellStart"/>
      <w:r>
        <w:t>lč</w:t>
      </w:r>
      <w:proofErr w:type="spellEnd"/>
      <w:r>
        <w:t>: 71009183</w:t>
      </w:r>
    </w:p>
    <w:tbl>
      <w:tblPr>
        <w:tblStyle w:val="TableGrid"/>
        <w:tblpPr w:vertAnchor="text" w:tblpX="7373" w:tblpY="786"/>
        <w:tblOverlap w:val="never"/>
        <w:tblW w:w="2560" w:type="dxa"/>
        <w:tblInd w:w="0" w:type="dxa"/>
        <w:tblCellMar>
          <w:top w:w="28" w:type="dxa"/>
          <w:left w:w="79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2560"/>
      </w:tblGrid>
      <w:tr w:rsidR="00FA3803" w14:paraId="5DC521AC" w14:textId="77777777">
        <w:trPr>
          <w:trHeight w:val="282"/>
        </w:trPr>
        <w:tc>
          <w:tcPr>
            <w:tcW w:w="2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3BF8CF" w14:textId="77777777" w:rsidR="00FA3803" w:rsidRDefault="006E554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Zdravotní ústav </w:t>
            </w:r>
            <w:proofErr w:type="spellStart"/>
            <w:r>
              <w:rPr>
                <w:sz w:val="20"/>
              </w:rPr>
              <w:t>Ustí</w:t>
            </w:r>
            <w:proofErr w:type="spellEnd"/>
            <w:r>
              <w:rPr>
                <w:sz w:val="20"/>
              </w:rPr>
              <w:t xml:space="preserve"> nad Labem</w:t>
            </w:r>
          </w:p>
        </w:tc>
      </w:tr>
      <w:tr w:rsidR="00FA3803" w14:paraId="7CD44182" w14:textId="77777777">
        <w:trPr>
          <w:trHeight w:val="302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9A2B7" w14:textId="77777777" w:rsidR="00FA3803" w:rsidRDefault="006E5543">
            <w:pPr>
              <w:tabs>
                <w:tab w:val="center" w:pos="1609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Došlo, č. j.:</w:t>
            </w:r>
            <w:r>
              <w:rPr>
                <w:sz w:val="16"/>
              </w:rPr>
              <w:tab/>
              <w:t>IO. 2019</w:t>
            </w:r>
          </w:p>
        </w:tc>
      </w:tr>
      <w:tr w:rsidR="00FA3803" w14:paraId="7F4B74A2" w14:textId="77777777">
        <w:trPr>
          <w:trHeight w:val="301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22251" w14:textId="77777777" w:rsidR="00FA3803" w:rsidRDefault="006E5543">
            <w:pPr>
              <w:tabs>
                <w:tab w:val="center" w:pos="1513"/>
              </w:tabs>
              <w:spacing w:after="0" w:line="259" w:lineRule="auto"/>
              <w:ind w:left="0" w:firstLine="0"/>
              <w:jc w:val="left"/>
            </w:pPr>
            <w:r>
              <w:t>pro:</w:t>
            </w:r>
            <w:r>
              <w:tab/>
            </w:r>
            <w:r>
              <w:t xml:space="preserve">ar,' </w:t>
            </w:r>
            <w:proofErr w:type="spellStart"/>
            <w:r>
              <w:t>ei</w:t>
            </w:r>
            <w:proofErr w:type="spellEnd"/>
            <w:r>
              <w:t>/oV4</w:t>
            </w:r>
          </w:p>
        </w:tc>
      </w:tr>
    </w:tbl>
    <w:p w14:paraId="0CC66AC2" w14:textId="7EB44BAD" w:rsidR="00FA3803" w:rsidRDefault="006E5543">
      <w:pPr>
        <w:spacing w:after="242"/>
        <w:ind w:left="19" w:right="4"/>
      </w:pPr>
      <w:proofErr w:type="spellStart"/>
      <w:r>
        <w:t>č.ú</w:t>
      </w:r>
      <w:proofErr w:type="spellEnd"/>
      <w:r>
        <w:t>.: ČNB ………………….</w:t>
      </w:r>
      <w:r>
        <w:t xml:space="preserve"> zastoupená ředitelkou MUDr. Lenkou Šimůnkovou na straně jedné jako organizační složka státu (dále jen organizační složka)</w:t>
      </w:r>
    </w:p>
    <w:p w14:paraId="32FA4A5A" w14:textId="77777777" w:rsidR="00FA3803" w:rsidRDefault="006E5543">
      <w:pPr>
        <w:spacing w:after="218" w:line="259" w:lineRule="auto"/>
        <w:ind w:hanging="10"/>
        <w:jc w:val="left"/>
      </w:pPr>
      <w:r>
        <w:rPr>
          <w:sz w:val="26"/>
        </w:rPr>
        <w:t>a</w:t>
      </w:r>
    </w:p>
    <w:p w14:paraId="4703292D" w14:textId="77777777" w:rsidR="00FA3803" w:rsidRDefault="006E5543">
      <w:pPr>
        <w:ind w:left="19" w:right="4"/>
      </w:pPr>
      <w:r>
        <w:t xml:space="preserve">Zdravotní ústav se sídlem v </w:t>
      </w:r>
      <w:proofErr w:type="spellStart"/>
      <w:r>
        <w:t>Ustí</w:t>
      </w:r>
      <w:proofErr w:type="spellEnd"/>
      <w:r>
        <w:t xml:space="preserve"> nad Labem příspěvková organizace zřízená podle ustanovení S 86 odst. 1 zá</w:t>
      </w:r>
      <w:r>
        <w:t xml:space="preserve">kona č. 258/2000 Sb., o ochraně veřejného zdraví a o změně některých souvisejících zákonů, ve znění pozdějších předpisů se sídlem Moskevská 15, 400 01 Ústí nad Labem </w:t>
      </w:r>
      <w:proofErr w:type="spellStart"/>
      <w:r>
        <w:t>lč</w:t>
      </w:r>
      <w:proofErr w:type="spellEnd"/>
      <w:r>
        <w:t>: 71009361 DIČ: CZ71009361</w:t>
      </w:r>
    </w:p>
    <w:p w14:paraId="5F4F6BF4" w14:textId="16CF9D1B" w:rsidR="00FA3803" w:rsidRDefault="006E5543">
      <w:pPr>
        <w:spacing w:after="258"/>
        <w:ind w:left="19" w:right="4581"/>
      </w:pPr>
      <w:proofErr w:type="spellStart"/>
      <w:r>
        <w:t>č.ú</w:t>
      </w:r>
      <w:proofErr w:type="spellEnd"/>
      <w:r>
        <w:t>.: ČNB ÚL …………………</w:t>
      </w:r>
      <w:r>
        <w:t xml:space="preserve"> zastoupená: Ing. Pavlem </w:t>
      </w:r>
      <w:proofErr w:type="spellStart"/>
      <w:r>
        <w:t>Bern</w:t>
      </w:r>
      <w:r>
        <w:t>áthem</w:t>
      </w:r>
      <w:proofErr w:type="spellEnd"/>
      <w:r>
        <w:t>, ředitelem (dále jen příspěvková organizace)</w:t>
      </w:r>
    </w:p>
    <w:p w14:paraId="04ED49DC" w14:textId="77777777" w:rsidR="00FA3803" w:rsidRDefault="006E5543">
      <w:pPr>
        <w:spacing w:after="205" w:line="259" w:lineRule="auto"/>
        <w:ind w:left="58" w:right="48" w:hanging="10"/>
        <w:jc w:val="center"/>
      </w:pPr>
      <w:r>
        <w:rPr>
          <w:sz w:val="26"/>
        </w:rPr>
        <w:t>1.</w:t>
      </w:r>
    </w:p>
    <w:p w14:paraId="1E3724B6" w14:textId="77777777" w:rsidR="00FA3803" w:rsidRDefault="006E5543">
      <w:pPr>
        <w:spacing w:after="253"/>
        <w:ind w:left="19" w:right="4"/>
      </w:pPr>
      <w:r>
        <w:t>Smluvní strany se níže uvedeného dne, měsíce a roku dohodly na dodatku č. 2 ke Smlouvě o úhradě nákladů za poskytované služby, kterým se mění Příloha č. 2 v odstavci 1. takto:</w:t>
      </w:r>
    </w:p>
    <w:p w14:paraId="44881EE7" w14:textId="77777777" w:rsidR="00FA3803" w:rsidRDefault="006E5543">
      <w:pPr>
        <w:pStyle w:val="Nadpis1"/>
        <w:ind w:left="269" w:hanging="235"/>
      </w:pPr>
      <w:r>
        <w:t>Likvidace odpadu</w:t>
      </w:r>
    </w:p>
    <w:p w14:paraId="35165404" w14:textId="77777777" w:rsidR="00FA3803" w:rsidRDefault="006E5543">
      <w:pPr>
        <w:ind w:left="14" w:right="4" w:firstLine="725"/>
      </w:pPr>
      <w:r>
        <w:t>PO zajist</w:t>
      </w:r>
      <w:r>
        <w:t>í na základě smlouvy se třetím subjektem odvoz komunálního a tříděného odpadu. OS se zavazuje hradit 50 % nákladů na tuto službu. Po skončení zúčtovacího období je PO povinna zaslat OS vyúčtování nejpozději do jednoho měsíce poté, co bylo PO doručeno vyúčt</w:t>
      </w:r>
      <w:r>
        <w:t>ování přímým dodavatelem této služby. Úhrada nákladů je splatná na základě faktury, ke které PO připojí doklad o vyúčtování přímým dodavatelem služby.</w:t>
      </w:r>
    </w:p>
    <w:p w14:paraId="34A1FDF6" w14:textId="77777777" w:rsidR="00FA3803" w:rsidRDefault="006E5543">
      <w:pPr>
        <w:spacing w:after="270"/>
        <w:ind w:left="744" w:right="4"/>
      </w:pPr>
      <w:r>
        <w:t>Faktury jsou splatné vždy do 14. dne ode dne jejich doručení OS.</w:t>
      </w:r>
    </w:p>
    <w:p w14:paraId="45989E68" w14:textId="77777777" w:rsidR="00FA3803" w:rsidRDefault="006E5543">
      <w:pPr>
        <w:spacing w:after="240" w:line="259" w:lineRule="auto"/>
        <w:ind w:left="34" w:firstLine="0"/>
        <w:jc w:val="center"/>
      </w:pPr>
      <w:r>
        <w:rPr>
          <w:sz w:val="22"/>
        </w:rPr>
        <w:t>11.</w:t>
      </w:r>
    </w:p>
    <w:p w14:paraId="0B01E608" w14:textId="77777777" w:rsidR="00FA3803" w:rsidRDefault="006E5543">
      <w:pPr>
        <w:spacing w:after="1035"/>
        <w:ind w:left="14" w:right="4" w:firstLine="711"/>
      </w:pPr>
      <w:r>
        <w:t>Ostatní ustanovení Smlouvy o úhradě nákladů za poskytované služby ze dne 24.5.2004 zůstávají beze změn.</w:t>
      </w:r>
    </w:p>
    <w:p w14:paraId="62E28A1C" w14:textId="77777777" w:rsidR="00FA3803" w:rsidRDefault="006E5543">
      <w:pPr>
        <w:spacing w:after="205" w:line="259" w:lineRule="auto"/>
        <w:ind w:left="58" w:hanging="10"/>
        <w:jc w:val="center"/>
      </w:pPr>
      <w:r>
        <w:rPr>
          <w:sz w:val="26"/>
        </w:rPr>
        <w:lastRenderedPageBreak/>
        <w:t>1</w:t>
      </w:r>
    </w:p>
    <w:p w14:paraId="27D93FC5" w14:textId="77777777" w:rsidR="00FA3803" w:rsidRDefault="006E5543">
      <w:pPr>
        <w:spacing w:after="426" w:line="248" w:lineRule="auto"/>
        <w:ind w:left="7571" w:hanging="509"/>
        <w:jc w:val="left"/>
      </w:pPr>
      <w:r>
        <w:rPr>
          <w:rFonts w:ascii="Times New Roman" w:eastAsia="Times New Roman" w:hAnsi="Times New Roman" w:cs="Times New Roman"/>
        </w:rPr>
        <w:t xml:space="preserve">KHSUL 23180/2019 </w:t>
      </w:r>
      <w:proofErr w:type="spellStart"/>
      <w:r>
        <w:rPr>
          <w:rFonts w:ascii="Times New Roman" w:eastAsia="Times New Roman" w:hAnsi="Times New Roman" w:cs="Times New Roman"/>
        </w:rPr>
        <w:t>khsues</w:t>
      </w:r>
      <w:proofErr w:type="spellEnd"/>
      <w:r>
        <w:rPr>
          <w:rFonts w:ascii="Times New Roman" w:eastAsia="Times New Roman" w:hAnsi="Times New Roman" w:cs="Times New Roman"/>
        </w:rPr>
        <w:t xml:space="preserve"> 1225194</w:t>
      </w:r>
    </w:p>
    <w:p w14:paraId="54703C1C" w14:textId="77777777" w:rsidR="00FA3803" w:rsidRDefault="006E5543">
      <w:pPr>
        <w:spacing w:after="0" w:line="259" w:lineRule="auto"/>
        <w:ind w:left="0" w:right="19" w:firstLine="0"/>
        <w:jc w:val="center"/>
      </w:pPr>
      <w:r>
        <w:rPr>
          <w:rFonts w:ascii="Times New Roman" w:eastAsia="Times New Roman" w:hAnsi="Times New Roman" w:cs="Times New Roman"/>
          <w:sz w:val="22"/>
        </w:rPr>
        <w:t>111.</w:t>
      </w:r>
    </w:p>
    <w:p w14:paraId="70BEEC50" w14:textId="77777777" w:rsidR="00FA3803" w:rsidRDefault="006E5543">
      <w:pPr>
        <w:spacing w:after="249" w:line="259" w:lineRule="auto"/>
        <w:ind w:left="355" w:firstLine="0"/>
        <w:jc w:val="center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Závěrečná ustanovení</w:t>
      </w:r>
    </w:p>
    <w:p w14:paraId="677CB9B6" w14:textId="77777777" w:rsidR="00FA3803" w:rsidRDefault="006E5543">
      <w:pPr>
        <w:numPr>
          <w:ilvl w:val="0"/>
          <w:numId w:val="1"/>
        </w:numPr>
        <w:spacing w:after="268" w:line="248" w:lineRule="auto"/>
        <w:ind w:hanging="360"/>
        <w:jc w:val="left"/>
      </w:pPr>
      <w:r>
        <w:rPr>
          <w:rFonts w:ascii="Times New Roman" w:eastAsia="Times New Roman" w:hAnsi="Times New Roman" w:cs="Times New Roman"/>
        </w:rPr>
        <w:t>Tento dodatek je sepsán</w:t>
      </w:r>
      <w:r>
        <w:rPr>
          <w:rFonts w:ascii="Times New Roman" w:eastAsia="Times New Roman" w:hAnsi="Times New Roman" w:cs="Times New Roman"/>
        </w:rPr>
        <w:t xml:space="preserve"> ve 2 vyhotoveních, z nichž každá smluvní strana obdrží po jednom písemném vyhotovení tohoto dodatku.</w:t>
      </w:r>
    </w:p>
    <w:p w14:paraId="36ED76AD" w14:textId="77777777" w:rsidR="00FA3803" w:rsidRDefault="006E5543">
      <w:pPr>
        <w:numPr>
          <w:ilvl w:val="0"/>
          <w:numId w:val="1"/>
        </w:numPr>
        <w:spacing w:after="268" w:line="248" w:lineRule="auto"/>
        <w:ind w:hanging="360"/>
        <w:jc w:val="left"/>
      </w:pPr>
      <w:r>
        <w:rPr>
          <w:rFonts w:ascii="Times New Roman" w:eastAsia="Times New Roman" w:hAnsi="Times New Roman" w:cs="Times New Roman"/>
        </w:rPr>
        <w:t>Tento dodatek nabývá platnosti dnem podpisu obou smluvních stran a účinnosti dnem zveřejnění v Registru smluv.</w:t>
      </w:r>
    </w:p>
    <w:p w14:paraId="4EEE927B" w14:textId="77777777" w:rsidR="00FA3803" w:rsidRDefault="006E5543">
      <w:pPr>
        <w:numPr>
          <w:ilvl w:val="0"/>
          <w:numId w:val="1"/>
        </w:numPr>
        <w:spacing w:after="268" w:line="248" w:lineRule="auto"/>
        <w:ind w:hanging="360"/>
        <w:jc w:val="left"/>
      </w:pPr>
      <w:r>
        <w:rPr>
          <w:rFonts w:ascii="Times New Roman" w:eastAsia="Times New Roman" w:hAnsi="Times New Roman" w:cs="Times New Roman"/>
        </w:rPr>
        <w:t>Odpovědní zástupci obou smluvních stran pro</w:t>
      </w:r>
      <w:r>
        <w:rPr>
          <w:rFonts w:ascii="Times New Roman" w:eastAsia="Times New Roman" w:hAnsi="Times New Roman" w:cs="Times New Roman"/>
        </w:rPr>
        <w:t>hlašují, že si dodatek přečetli, že byl sepsán podle jejich pravé a svobodné vůle, a že jsou oprávněni tento dodatek uzavřít, což stvrzují</w:t>
      </w:r>
    </w:p>
    <w:p w14:paraId="31764509" w14:textId="77777777" w:rsidR="00FA3803" w:rsidRDefault="00FA3803">
      <w:pPr>
        <w:sectPr w:rsidR="00FA3803">
          <w:type w:val="continuous"/>
          <w:pgSz w:w="12403" w:h="17186"/>
          <w:pgMar w:top="905" w:right="1757" w:bottom="1191" w:left="1570" w:header="708" w:footer="708" w:gutter="0"/>
          <w:cols w:space="708"/>
        </w:sectPr>
      </w:pPr>
    </w:p>
    <w:p w14:paraId="214347A2" w14:textId="77777777" w:rsidR="00FA3803" w:rsidRDefault="006E5543">
      <w:pPr>
        <w:spacing w:after="787" w:line="248" w:lineRule="auto"/>
        <w:ind w:left="43" w:hanging="10"/>
        <w:jc w:val="left"/>
      </w:pPr>
      <w:r>
        <w:rPr>
          <w:rFonts w:ascii="Times New Roman" w:eastAsia="Times New Roman" w:hAnsi="Times New Roman" w:cs="Times New Roman"/>
        </w:rPr>
        <w:t>svými podpisy.</w:t>
      </w:r>
    </w:p>
    <w:p w14:paraId="2D1FD1C4" w14:textId="3E3BF829" w:rsidR="00FA3803" w:rsidRDefault="006E5543">
      <w:pPr>
        <w:spacing w:after="4" w:line="259" w:lineRule="auto"/>
        <w:ind w:left="-365" w:right="610" w:firstLine="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2019</w:t>
      </w:r>
    </w:p>
    <w:p w14:paraId="38BF23B8" w14:textId="77777777" w:rsidR="00FA3803" w:rsidRDefault="006E5543">
      <w:pPr>
        <w:spacing w:after="291" w:line="248" w:lineRule="auto"/>
        <w:ind w:left="360" w:hanging="10"/>
        <w:jc w:val="left"/>
      </w:pPr>
      <w:r>
        <w:rPr>
          <w:rFonts w:ascii="Times New Roman" w:eastAsia="Times New Roman" w:hAnsi="Times New Roman" w:cs="Times New Roman"/>
        </w:rPr>
        <w:t>za organizační složku</w:t>
      </w:r>
    </w:p>
    <w:p w14:paraId="17CA29AE" w14:textId="77777777" w:rsidR="00FA3803" w:rsidRDefault="006E5543">
      <w:pPr>
        <w:spacing w:after="10" w:line="216" w:lineRule="auto"/>
        <w:ind w:left="336" w:right="1781" w:hanging="10"/>
      </w:pPr>
      <w:r>
        <w:rPr>
          <w:rFonts w:ascii="Times New Roman" w:eastAsia="Times New Roman" w:hAnsi="Times New Roman" w:cs="Times New Roman"/>
          <w:sz w:val="20"/>
        </w:rPr>
        <w:t>Krajská hygienická stanice Ústeckého kraje se sídlem v Ústí nad Labem</w:t>
      </w:r>
    </w:p>
    <w:p w14:paraId="41ADB7E6" w14:textId="77777777" w:rsidR="00FA3803" w:rsidRDefault="006E5543">
      <w:pPr>
        <w:spacing w:after="6872" w:line="216" w:lineRule="auto"/>
        <w:ind w:left="1330" w:right="1781" w:hanging="10"/>
      </w:pPr>
      <w:r>
        <w:rPr>
          <w:rFonts w:ascii="Times New Roman" w:eastAsia="Times New Roman" w:hAnsi="Times New Roman" w:cs="Times New Roman"/>
          <w:sz w:val="20"/>
        </w:rPr>
        <w:t>10</w:t>
      </w:r>
    </w:p>
    <w:p w14:paraId="4074DB88" w14:textId="77777777" w:rsidR="00FA3803" w:rsidRDefault="006E5543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</w:rPr>
        <w:t>2</w:t>
      </w:r>
    </w:p>
    <w:p w14:paraId="5E16B63D" w14:textId="1DAC0700" w:rsidR="00FA3803" w:rsidRDefault="00FA3803">
      <w:pPr>
        <w:spacing w:after="93" w:line="259" w:lineRule="auto"/>
        <w:ind w:left="58" w:firstLine="0"/>
        <w:jc w:val="left"/>
      </w:pPr>
      <w:bookmarkStart w:id="0" w:name="_GoBack"/>
      <w:bookmarkEnd w:id="0"/>
    </w:p>
    <w:p w14:paraId="285A2717" w14:textId="77777777" w:rsidR="00FA3803" w:rsidRDefault="006E5543">
      <w:pPr>
        <w:spacing w:after="383" w:line="248" w:lineRule="auto"/>
        <w:ind w:left="43" w:hanging="10"/>
        <w:jc w:val="left"/>
      </w:pPr>
      <w:r>
        <w:rPr>
          <w:rFonts w:ascii="Times New Roman" w:eastAsia="Times New Roman" w:hAnsi="Times New Roman" w:cs="Times New Roman"/>
        </w:rPr>
        <w:t>za příspěvkovou organizaci</w:t>
      </w:r>
    </w:p>
    <w:p w14:paraId="259A6A89" w14:textId="77777777" w:rsidR="00FA3803" w:rsidRDefault="006E5543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30"/>
        </w:rPr>
        <w:t xml:space="preserve">/V'. </w:t>
      </w:r>
      <w:proofErr w:type="spellStart"/>
      <w:r>
        <w:rPr>
          <w:rFonts w:ascii="Times New Roman" w:eastAsia="Times New Roman" w:hAnsi="Times New Roman" w:cs="Times New Roman"/>
          <w:sz w:val="30"/>
        </w:rPr>
        <w:t>POLűL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ó </w:t>
      </w:r>
      <w:proofErr w:type="spellStart"/>
      <w:r>
        <w:rPr>
          <w:rFonts w:ascii="Times New Roman" w:eastAsia="Times New Roman" w:hAnsi="Times New Roman" w:cs="Times New Roman"/>
          <w:sz w:val="30"/>
        </w:rPr>
        <w:t>CmP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9 H</w:t>
      </w:r>
    </w:p>
    <w:p w14:paraId="2FF5C0B1" w14:textId="77777777" w:rsidR="00FA3803" w:rsidRDefault="006E5543">
      <w:pPr>
        <w:spacing w:after="0" w:line="259" w:lineRule="auto"/>
        <w:ind w:left="619" w:firstLine="0"/>
        <w:jc w:val="left"/>
      </w:pPr>
      <w:r>
        <w:rPr>
          <w:noProof/>
        </w:rPr>
        <w:drawing>
          <wp:inline distT="0" distB="0" distL="0" distR="0" wp14:anchorId="46546549" wp14:editId="2EBE8207">
            <wp:extent cx="67070" cy="67066"/>
            <wp:effectExtent l="0" t="0" r="0" b="0"/>
            <wp:docPr id="3481" name="Picture 3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" name="Picture 34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70" cy="6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Zc</w:t>
      </w:r>
      <w:proofErr w:type="spellEnd"/>
      <w:proofErr w:type="gramStart"/>
      <w:r>
        <w:rPr>
          <w:rFonts w:ascii="Times New Roman" w:eastAsia="Times New Roman" w:hAnsi="Times New Roman" w:cs="Times New Roman"/>
          <w:sz w:val="16"/>
        </w:rPr>
        <w:t>-(</w:t>
      </w:r>
      <w:proofErr w:type="gramEnd"/>
      <w:r>
        <w:rPr>
          <w:rFonts w:ascii="Times New Roman" w:eastAsia="Times New Roman" w:hAnsi="Times New Roman" w:cs="Times New Roman"/>
          <w:sz w:val="16"/>
        </w:rPr>
        <w:t>Ĺ._-—</w:t>
      </w:r>
      <w:r>
        <w:rPr>
          <w:noProof/>
        </w:rPr>
        <w:drawing>
          <wp:inline distT="0" distB="0" distL="0" distR="0" wp14:anchorId="5D8F1E95" wp14:editId="56952460">
            <wp:extent cx="6097" cy="6097"/>
            <wp:effectExtent l="0" t="0" r="0" b="0"/>
            <wp:docPr id="3482" name="Picture 3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" name="Picture 34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3803">
      <w:type w:val="continuous"/>
      <w:pgSz w:w="12403" w:h="17186"/>
      <w:pgMar w:top="1440" w:right="1565" w:bottom="1440" w:left="1968" w:header="708" w:footer="708" w:gutter="0"/>
      <w:cols w:num="2" w:space="708" w:equalWidth="0">
        <w:col w:w="4234" w:space="1034"/>
        <w:col w:w="36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8710D"/>
    <w:multiLevelType w:val="hybridMultilevel"/>
    <w:tmpl w:val="7A36E862"/>
    <w:lvl w:ilvl="0" w:tplc="9D5EBE3A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531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AC5C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E2DC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0074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A852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2788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AC29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E5B2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E925C5"/>
    <w:multiLevelType w:val="hybridMultilevel"/>
    <w:tmpl w:val="5E02D0DE"/>
    <w:lvl w:ilvl="0" w:tplc="51A8333A">
      <w:start w:val="3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E9950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0F058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EDB7A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C0516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E7578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AFC3E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22DDC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DC7C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03"/>
    <w:rsid w:val="006E5543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C256"/>
  <w15:docId w15:val="{8BAB49CC-02BA-41F6-A23E-28E6971B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26" w:lineRule="auto"/>
      <w:ind w:left="5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239"/>
      <w:ind w:left="34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2019-11-14T07:36:00Z</dcterms:created>
  <dcterms:modified xsi:type="dcterms:W3CDTF">2019-11-14T07:36:00Z</dcterms:modified>
</cp:coreProperties>
</file>