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EE" w:rsidRDefault="00C0392F">
      <w:pPr>
        <w:pStyle w:val="Zkladntext30"/>
        <w:framePr w:w="9133" w:h="292" w:hRule="exact" w:wrap="none" w:vAnchor="page" w:hAnchor="page" w:x="1404" w:y="1976"/>
        <w:shd w:val="clear" w:color="auto" w:fill="auto"/>
        <w:spacing w:after="0" w:line="230" w:lineRule="exact"/>
        <w:ind w:right="20"/>
      </w:pPr>
      <w:r>
        <w:t xml:space="preserve">Dodatek ě. 1 ke smlouvě </w:t>
      </w:r>
      <w:r w:rsidR="006026D5">
        <w:t>č</w:t>
      </w:r>
      <w:r>
        <w:t>.j. NG/57/2016</w:t>
      </w:r>
    </w:p>
    <w:p w:rsidR="00BB74EE" w:rsidRDefault="00C0392F">
      <w:pPr>
        <w:pStyle w:val="Zkladntext30"/>
        <w:framePr w:w="9133" w:h="4475" w:hRule="exact" w:wrap="none" w:vAnchor="page" w:hAnchor="page" w:x="1404" w:y="3589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>Národní galerie v Praze</w:t>
      </w:r>
    </w:p>
    <w:p w:rsidR="006026D5" w:rsidRDefault="00C0392F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3540" w:firstLine="0"/>
      </w:pPr>
      <w:r>
        <w:t xml:space="preserve">se sídlem: Staroměstské nám. 12, 110 15 Praha 1 </w:t>
      </w:r>
    </w:p>
    <w:p w:rsidR="006026D5" w:rsidRDefault="00C0392F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3540" w:firstLine="0"/>
      </w:pPr>
      <w:r>
        <w:t xml:space="preserve">jednající: doc. Dr. et Ing. Jiří Fajt, Ph.D., generální ředitel </w:t>
      </w:r>
    </w:p>
    <w:p w:rsidR="006026D5" w:rsidRDefault="00C0392F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3540" w:firstLine="0"/>
      </w:pPr>
      <w:r>
        <w:t xml:space="preserve">IČ: 00023281, DIČ: CZ00023281 </w:t>
      </w:r>
    </w:p>
    <w:p w:rsidR="00BB74EE" w:rsidRDefault="00C0392F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3540" w:firstLine="0"/>
      </w:pPr>
      <w:r>
        <w:t xml:space="preserve">bankovní spojení: </w:t>
      </w:r>
      <w:r w:rsidR="004763D3">
        <w:t>………….</w:t>
      </w:r>
      <w:r>
        <w:t xml:space="preserve">, č.ú.: </w:t>
      </w:r>
      <w:r w:rsidR="004763D3">
        <w:t>…………………</w:t>
      </w:r>
    </w:p>
    <w:p w:rsidR="006026D5" w:rsidRDefault="00C0392F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6940" w:firstLine="0"/>
      </w:pPr>
      <w:r>
        <w:t xml:space="preserve">(dále jen „objednatel“) </w:t>
      </w:r>
    </w:p>
    <w:p w:rsidR="006026D5" w:rsidRDefault="006026D5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6940" w:firstLine="0"/>
      </w:pPr>
    </w:p>
    <w:p w:rsidR="00BB74EE" w:rsidRDefault="006026D5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6940" w:firstLine="0"/>
      </w:pPr>
      <w:r>
        <w:t>a</w:t>
      </w:r>
    </w:p>
    <w:p w:rsidR="006026D5" w:rsidRDefault="006026D5" w:rsidP="006026D5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40" w:lineRule="auto"/>
        <w:ind w:right="6940" w:firstLine="0"/>
      </w:pPr>
    </w:p>
    <w:p w:rsidR="00BB74EE" w:rsidRDefault="00C0392F">
      <w:pPr>
        <w:pStyle w:val="Zkladntext20"/>
        <w:framePr w:w="9133" w:h="4475" w:hRule="exact" w:wrap="none" w:vAnchor="page" w:hAnchor="page" w:x="1404" w:y="3589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56" w:lineRule="exact"/>
        <w:ind w:firstLine="0"/>
        <w:jc w:val="both"/>
      </w:pPr>
      <w:r>
        <w:t>Kunsttrans, spol.s.r.o.</w:t>
      </w:r>
    </w:p>
    <w:p w:rsidR="00BB74EE" w:rsidRDefault="00C0392F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56" w:lineRule="exact"/>
        <w:ind w:right="4800" w:firstLine="0"/>
      </w:pPr>
      <w:r>
        <w:t>Se sídlem Dukelských hrdinů 47, 170 00 Praha 7 Jednající: Ing. Libor Veselý, jednatel společnosti</w:t>
      </w:r>
    </w:p>
    <w:p w:rsidR="004763D3" w:rsidRDefault="00C0392F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56" w:lineRule="exact"/>
        <w:ind w:right="1300" w:firstLine="0"/>
      </w:pPr>
      <w:r>
        <w:t xml:space="preserve">Zapsaná v obchodním rejstříku: Městský soud v Praze , oddíl C, vložka 4831 z 5.11.1991 Bankovní spojení: </w:t>
      </w:r>
      <w:r w:rsidR="004763D3">
        <w:t>………………., č.ú. ………………….</w:t>
      </w:r>
      <w:r>
        <w:t xml:space="preserve"> </w:t>
      </w:r>
    </w:p>
    <w:p w:rsidR="004763D3" w:rsidRDefault="00C0392F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56" w:lineRule="exact"/>
        <w:ind w:right="1300" w:firstLine="0"/>
      </w:pPr>
      <w:r>
        <w:t xml:space="preserve">IČ: 40615243, DIČ: CZ40615243 </w:t>
      </w:r>
    </w:p>
    <w:p w:rsidR="00BB74EE" w:rsidRDefault="00C0392F">
      <w:pPr>
        <w:pStyle w:val="Zkladntext20"/>
        <w:framePr w:w="9133" w:h="4475" w:hRule="exact" w:wrap="none" w:vAnchor="page" w:hAnchor="page" w:x="1404" w:y="3589"/>
        <w:shd w:val="clear" w:color="auto" w:fill="auto"/>
        <w:spacing w:after="0" w:line="256" w:lineRule="exact"/>
        <w:ind w:right="1300" w:firstLine="0"/>
      </w:pPr>
      <w:r>
        <w:t>(dále jen „zhotovitel“)</w:t>
      </w:r>
    </w:p>
    <w:p w:rsidR="00BB74EE" w:rsidRDefault="00C0392F">
      <w:pPr>
        <w:pStyle w:val="Zkladntext20"/>
        <w:framePr w:w="9133" w:h="1116" w:hRule="exact" w:wrap="none" w:vAnchor="page" w:hAnchor="page" w:x="1404" w:y="8611"/>
        <w:shd w:val="clear" w:color="auto" w:fill="auto"/>
        <w:spacing w:after="9" w:line="220" w:lineRule="exact"/>
        <w:ind w:left="200" w:firstLine="0"/>
      </w:pPr>
      <w:r>
        <w:t>uzavírají níže uvedeného dne, měsíce a roku na základě vzájemného konsensu o všech níže</w:t>
      </w:r>
    </w:p>
    <w:p w:rsidR="00BB74EE" w:rsidRDefault="00C0392F">
      <w:pPr>
        <w:pStyle w:val="Zkladntext20"/>
        <w:framePr w:w="9133" w:h="1116" w:hRule="exact" w:wrap="none" w:vAnchor="page" w:hAnchor="page" w:x="1404" w:y="8611"/>
        <w:shd w:val="clear" w:color="auto" w:fill="auto"/>
        <w:spacing w:after="248" w:line="220" w:lineRule="exact"/>
        <w:ind w:right="20" w:firstLine="0"/>
        <w:jc w:val="center"/>
      </w:pPr>
      <w:r>
        <w:t>uvedených ustanoveních tento</w:t>
      </w:r>
    </w:p>
    <w:p w:rsidR="00BB74EE" w:rsidRDefault="00C0392F">
      <w:pPr>
        <w:pStyle w:val="Zkladntext30"/>
        <w:framePr w:w="9133" w:h="1116" w:hRule="exact" w:wrap="none" w:vAnchor="page" w:hAnchor="page" w:x="1404" w:y="8611"/>
        <w:shd w:val="clear" w:color="auto" w:fill="auto"/>
        <w:spacing w:after="0" w:line="230" w:lineRule="exact"/>
        <w:ind w:right="20"/>
      </w:pPr>
      <w:r>
        <w:t>dodatek č. 1 ke smlouvě o díl</w:t>
      </w:r>
      <w:r>
        <w:t xml:space="preserve">o </w:t>
      </w:r>
      <w:r w:rsidR="004763D3">
        <w:t>č</w:t>
      </w:r>
      <w:r>
        <w:t>.j. NG/57/2016 ze dne: 15.1.2016</w:t>
      </w:r>
    </w:p>
    <w:p w:rsidR="00BB74EE" w:rsidRDefault="00C0392F">
      <w:pPr>
        <w:pStyle w:val="Nadpis20"/>
        <w:framePr w:w="9133" w:h="3573" w:hRule="exact" w:wrap="none" w:vAnchor="page" w:hAnchor="page" w:x="1404" w:y="10281"/>
        <w:shd w:val="clear" w:color="auto" w:fill="auto"/>
        <w:spacing w:before="0" w:after="11" w:line="190" w:lineRule="exact"/>
        <w:ind w:right="20"/>
      </w:pPr>
      <w:bookmarkStart w:id="0" w:name="bookmark0"/>
      <w:r>
        <w:t>I.</w:t>
      </w:r>
      <w:bookmarkEnd w:id="0"/>
    </w:p>
    <w:p w:rsidR="00BB74EE" w:rsidRDefault="00C0392F">
      <w:pPr>
        <w:pStyle w:val="Zkladntext30"/>
        <w:framePr w:w="9133" w:h="3573" w:hRule="exact" w:wrap="none" w:vAnchor="page" w:hAnchor="page" w:x="1404" w:y="10281"/>
        <w:shd w:val="clear" w:color="auto" w:fill="auto"/>
        <w:spacing w:after="211" w:line="230" w:lineRule="exact"/>
        <w:ind w:right="20"/>
      </w:pPr>
      <w:r>
        <w:t>Předmět dodatku</w:t>
      </w:r>
    </w:p>
    <w:p w:rsidR="00BB74EE" w:rsidRDefault="00C0392F">
      <w:pPr>
        <w:pStyle w:val="Zkladntext20"/>
        <w:framePr w:w="9133" w:h="3573" w:hRule="exact" w:wrap="none" w:vAnchor="page" w:hAnchor="page" w:x="1404" w:y="10281"/>
        <w:numPr>
          <w:ilvl w:val="0"/>
          <w:numId w:val="2"/>
        </w:numPr>
        <w:shd w:val="clear" w:color="auto" w:fill="auto"/>
        <w:tabs>
          <w:tab w:val="left" w:pos="767"/>
        </w:tabs>
        <w:spacing w:after="240"/>
        <w:ind w:left="760" w:hanging="340"/>
        <w:jc w:val="both"/>
      </w:pPr>
      <w:r>
        <w:t xml:space="preserve">Předmětem tohoto dodatku je navýšení předpokládaného finančního rozsahu plnění dle části smlouvy o dílo č.j. NG/57/2016 ze dne 15.1.2016 (dále jen „Smlouva“). Jedná se o navýšení u transportu výstavy </w:t>
      </w:r>
      <w:r>
        <w:t>„Generosity“ z důvodu objektivně nepředvídatelných okolnostní na straně vlastníků transportovaných děl (zejm. navýšení rozsahu kurýrního doprovodu, navýšení rozměrů přepravních obalů - tzv. klimabeden).</w:t>
      </w:r>
    </w:p>
    <w:p w:rsidR="00BB74EE" w:rsidRDefault="00C0392F">
      <w:pPr>
        <w:pStyle w:val="Zkladntext20"/>
        <w:framePr w:w="9133" w:h="3573" w:hRule="exact" w:wrap="none" w:vAnchor="page" w:hAnchor="page" w:x="1404" w:y="10281"/>
        <w:numPr>
          <w:ilvl w:val="0"/>
          <w:numId w:val="2"/>
        </w:numPr>
        <w:shd w:val="clear" w:color="auto" w:fill="auto"/>
        <w:tabs>
          <w:tab w:val="left" w:pos="767"/>
        </w:tabs>
        <w:spacing w:after="0"/>
        <w:ind w:left="760" w:hanging="340"/>
        <w:jc w:val="both"/>
      </w:pPr>
      <w:r>
        <w:t>Ve smyslu ČI. VI. odst. 2 Smlouvy se tímto dodatkem s</w:t>
      </w:r>
      <w:r>
        <w:t>mluvní strany dohodly na navýšení finančního rozsahu plnění oproti částce uvedené v příloze č. 1 Smlouvy - Nabídka sumarizace, str. 7 takto:</w:t>
      </w:r>
    </w:p>
    <w:p w:rsidR="00BB74EE" w:rsidRDefault="00C0392F">
      <w:pPr>
        <w:pStyle w:val="Zkladntext40"/>
        <w:framePr w:w="9133" w:h="582" w:hRule="exact" w:wrap="none" w:vAnchor="page" w:hAnchor="page" w:x="1404" w:y="14100"/>
        <w:shd w:val="clear" w:color="auto" w:fill="auto"/>
        <w:tabs>
          <w:tab w:val="left" w:leader="dot" w:pos="6936"/>
        </w:tabs>
        <w:spacing w:before="0" w:after="9" w:line="240" w:lineRule="exact"/>
        <w:ind w:left="920"/>
      </w:pPr>
      <w:r>
        <w:t>původní nabídková cena pro výstavu Generosity</w:t>
      </w:r>
      <w:r>
        <w:rPr>
          <w:rStyle w:val="Zkladntext4Nekurzva"/>
        </w:rPr>
        <w:tab/>
      </w:r>
      <w:r>
        <w:t>808.750,-Kč bez DPH</w:t>
      </w:r>
    </w:p>
    <w:p w:rsidR="00BB74EE" w:rsidRDefault="00C0392F">
      <w:pPr>
        <w:pStyle w:val="Zkladntext50"/>
        <w:framePr w:w="9133" w:h="582" w:hRule="exact" w:wrap="none" w:vAnchor="page" w:hAnchor="page" w:x="1404" w:y="14100"/>
        <w:shd w:val="clear" w:color="auto" w:fill="auto"/>
        <w:tabs>
          <w:tab w:val="left" w:leader="dot" w:pos="6738"/>
        </w:tabs>
        <w:spacing w:before="0" w:line="220" w:lineRule="exact"/>
        <w:ind w:left="920"/>
      </w:pPr>
      <w:r>
        <w:t>Navýšení ceny celkem</w:t>
      </w:r>
      <w:r>
        <w:rPr>
          <w:rStyle w:val="Zkladntext5NetunNekurzva"/>
        </w:rPr>
        <w:tab/>
        <w:t xml:space="preserve"> </w:t>
      </w:r>
      <w:r>
        <w:t>142.225,-Kč bez DPH</w:t>
      </w:r>
    </w:p>
    <w:p w:rsidR="00BB74EE" w:rsidRDefault="00C0392F">
      <w:pPr>
        <w:pStyle w:val="Zkladntext40"/>
        <w:framePr w:wrap="none" w:vAnchor="page" w:hAnchor="page" w:x="2311" w:y="14658"/>
        <w:shd w:val="clear" w:color="auto" w:fill="auto"/>
        <w:spacing w:before="0" w:after="0" w:line="240" w:lineRule="exact"/>
        <w:jc w:val="left"/>
      </w:pPr>
      <w:r>
        <w:t>celková</w:t>
      </w:r>
      <w:r>
        <w:t xml:space="preserve"> cena za transporty výstavy Generosity po navýšení... 950.975,-Kč bez DPH</w:t>
      </w:r>
    </w:p>
    <w:p w:rsidR="00BB74EE" w:rsidRDefault="00C0392F">
      <w:pPr>
        <w:pStyle w:val="ZhlavneboZpat0"/>
        <w:framePr w:wrap="none" w:vAnchor="page" w:hAnchor="page" w:x="5627" w:y="15875"/>
        <w:shd w:val="clear" w:color="auto" w:fill="auto"/>
        <w:spacing w:line="190" w:lineRule="exact"/>
      </w:pPr>
      <w:r>
        <w:t>Strana 1</w:t>
      </w:r>
    </w:p>
    <w:p w:rsidR="00BB74EE" w:rsidRDefault="00BB74EE">
      <w:pPr>
        <w:rPr>
          <w:sz w:val="2"/>
          <w:szCs w:val="2"/>
        </w:rPr>
        <w:sectPr w:rsidR="00BB74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4EE" w:rsidRDefault="00C0392F">
      <w:pPr>
        <w:pStyle w:val="Zkladntext20"/>
        <w:framePr w:w="9144" w:h="6319" w:hRule="exact" w:wrap="none" w:vAnchor="page" w:hAnchor="page" w:x="1399" w:y="2013"/>
        <w:numPr>
          <w:ilvl w:val="0"/>
          <w:numId w:val="2"/>
        </w:numPr>
        <w:shd w:val="clear" w:color="auto" w:fill="auto"/>
        <w:tabs>
          <w:tab w:val="left" w:pos="773"/>
        </w:tabs>
        <w:spacing w:after="538" w:line="220" w:lineRule="exact"/>
        <w:ind w:left="780"/>
        <w:jc w:val="both"/>
      </w:pPr>
      <w:r>
        <w:lastRenderedPageBreak/>
        <w:t>Ostatní ustanovení Smlouvy zůstávají tímto dodatkem nedotčena.</w:t>
      </w:r>
    </w:p>
    <w:p w:rsidR="00BB74EE" w:rsidRDefault="00C0392F">
      <w:pPr>
        <w:pStyle w:val="Zkladntext30"/>
        <w:framePr w:w="9144" w:h="6319" w:hRule="exact" w:wrap="none" w:vAnchor="page" w:hAnchor="page" w:x="1399" w:y="2013"/>
        <w:shd w:val="clear" w:color="auto" w:fill="auto"/>
        <w:spacing w:after="3" w:line="230" w:lineRule="exact"/>
        <w:ind w:right="20"/>
      </w:pPr>
      <w:r>
        <w:t>II.</w:t>
      </w:r>
    </w:p>
    <w:p w:rsidR="00BB74EE" w:rsidRDefault="00C0392F">
      <w:pPr>
        <w:pStyle w:val="Zkladntext30"/>
        <w:framePr w:w="9144" w:h="6319" w:hRule="exact" w:wrap="none" w:vAnchor="page" w:hAnchor="page" w:x="1399" w:y="2013"/>
        <w:shd w:val="clear" w:color="auto" w:fill="auto"/>
        <w:spacing w:after="211" w:line="230" w:lineRule="exact"/>
        <w:ind w:right="20"/>
      </w:pPr>
      <w:r>
        <w:t>Závěrečná ustanovení</w:t>
      </w:r>
    </w:p>
    <w:p w:rsidR="00BB74EE" w:rsidRDefault="00C0392F">
      <w:pPr>
        <w:pStyle w:val="Zkladntext20"/>
        <w:framePr w:w="9144" w:h="6319" w:hRule="exact" w:wrap="none" w:vAnchor="page" w:hAnchor="page" w:x="1399" w:y="2013"/>
        <w:numPr>
          <w:ilvl w:val="0"/>
          <w:numId w:val="3"/>
        </w:numPr>
        <w:shd w:val="clear" w:color="auto" w:fill="auto"/>
        <w:tabs>
          <w:tab w:val="left" w:pos="773"/>
        </w:tabs>
        <w:spacing w:after="243"/>
        <w:ind w:left="780"/>
        <w:jc w:val="both"/>
      </w:pPr>
      <w:r>
        <w:t>Tento dodatek je vyhotoven ve čtyřech stejnopisech, z nichž d</w:t>
      </w:r>
      <w:r>
        <w:t>va obdrží objednatel a dva poskytovatel.</w:t>
      </w:r>
    </w:p>
    <w:p w:rsidR="00BB74EE" w:rsidRDefault="00C0392F">
      <w:pPr>
        <w:pStyle w:val="Zkladntext20"/>
        <w:framePr w:w="9144" w:h="6319" w:hRule="exact" w:wrap="none" w:vAnchor="page" w:hAnchor="page" w:x="1399" w:y="2013"/>
        <w:numPr>
          <w:ilvl w:val="0"/>
          <w:numId w:val="3"/>
        </w:numPr>
        <w:shd w:val="clear" w:color="auto" w:fill="auto"/>
        <w:tabs>
          <w:tab w:val="left" w:pos="773"/>
        </w:tabs>
        <w:spacing w:after="237" w:line="270" w:lineRule="exact"/>
        <w:ind w:left="780"/>
        <w:jc w:val="both"/>
      </w:pPr>
      <w:r>
        <w:t>Tento dodatek nabývá platnosti a účinnosti dnem podpisu oprávněnými zástupci obou smluvních stran.</w:t>
      </w:r>
    </w:p>
    <w:p w:rsidR="00BB74EE" w:rsidRDefault="00C0392F">
      <w:pPr>
        <w:pStyle w:val="Zkladntext20"/>
        <w:framePr w:w="9144" w:h="6319" w:hRule="exact" w:wrap="none" w:vAnchor="page" w:hAnchor="page" w:x="1399" w:y="2013"/>
        <w:numPr>
          <w:ilvl w:val="0"/>
          <w:numId w:val="3"/>
        </w:numPr>
        <w:shd w:val="clear" w:color="auto" w:fill="auto"/>
        <w:tabs>
          <w:tab w:val="left" w:pos="773"/>
        </w:tabs>
        <w:spacing w:after="240"/>
        <w:ind w:left="780"/>
        <w:jc w:val="both"/>
      </w:pPr>
      <w:r>
        <w:t xml:space="preserve">Pro případ povinnosti zveřejnění tohoto dodatku a Smlouvy dle zákona č. 340/2015 Sb., o registru smluv, smluvní </w:t>
      </w:r>
      <w:r>
        <w:t>strany sjednávají, že zveřejnění provede objednatel. Obě smluvní strany berou na vědomí, že nebudou zveřejněny pouze ty informace, které nelze poskytnout podle předpisů upravujících svobodný přístup k informacím. Považuj e-li zhotovitel některé informace u</w:t>
      </w:r>
      <w:r>
        <w:t>vedené v tomto dodatku a Smlouvě za informace, které nemohou nebo nemají být zveřejněny v registru smluv dle zákona č. 340/2015 Sb., je povinen na to objednatele současně s uzavřením tohoto dodatku písemně upozornit.</w:t>
      </w:r>
    </w:p>
    <w:p w:rsidR="00BB74EE" w:rsidRDefault="00C0392F">
      <w:pPr>
        <w:pStyle w:val="Zkladntext20"/>
        <w:framePr w:w="9144" w:h="6319" w:hRule="exact" w:wrap="none" w:vAnchor="page" w:hAnchor="page" w:x="1399" w:y="2013"/>
        <w:numPr>
          <w:ilvl w:val="0"/>
          <w:numId w:val="3"/>
        </w:numPr>
        <w:shd w:val="clear" w:color="auto" w:fill="auto"/>
        <w:tabs>
          <w:tab w:val="left" w:pos="773"/>
        </w:tabs>
        <w:spacing w:after="0"/>
        <w:ind w:left="780"/>
        <w:jc w:val="both"/>
      </w:pPr>
      <w:r>
        <w:t>Obě smluvní strany prohlašují, že tento</w:t>
      </w:r>
      <w:r>
        <w:t xml:space="preserve"> dodatek je projevem jejich svobodné, vážně míněné a omylu prosté vůle, což stvrzují svými podpisy.</w:t>
      </w:r>
    </w:p>
    <w:p w:rsidR="00BB74EE" w:rsidRDefault="00C0392F">
      <w:pPr>
        <w:pStyle w:val="Zkladntext20"/>
        <w:framePr w:wrap="none" w:vAnchor="page" w:hAnchor="page" w:x="1399" w:y="8993"/>
        <w:shd w:val="clear" w:color="auto" w:fill="auto"/>
        <w:tabs>
          <w:tab w:val="left" w:leader="dot" w:pos="1987"/>
        </w:tabs>
        <w:spacing w:after="0" w:line="400" w:lineRule="exact"/>
        <w:ind w:firstLine="0"/>
        <w:jc w:val="both"/>
      </w:pPr>
      <w:r>
        <w:t>V Praze dne</w:t>
      </w:r>
      <w:r w:rsidR="004763D3">
        <w:t xml:space="preserve">  29. 11. 2016</w:t>
      </w:r>
    </w:p>
    <w:p w:rsidR="004763D3" w:rsidRDefault="004763D3" w:rsidP="00D01224">
      <w:pPr>
        <w:pStyle w:val="Zkladntext30"/>
        <w:framePr w:w="3997" w:h="913" w:hRule="exact" w:wrap="none" w:vAnchor="page" w:hAnchor="page" w:x="1399" w:y="10501"/>
        <w:shd w:val="clear" w:color="auto" w:fill="auto"/>
        <w:spacing w:after="0" w:line="270" w:lineRule="exact"/>
        <w:ind w:right="839"/>
        <w:jc w:val="both"/>
      </w:pPr>
      <w:r>
        <w:t xml:space="preserve">doc. Dr. et Ing. Jiří Fajt, </w:t>
      </w:r>
      <w:r w:rsidR="00D01224">
        <w:t>P</w:t>
      </w:r>
    </w:p>
    <w:p w:rsidR="00BB74EE" w:rsidRDefault="00C0392F" w:rsidP="00D01224">
      <w:pPr>
        <w:pStyle w:val="Zkladntext30"/>
        <w:framePr w:w="3997" w:h="913" w:hRule="exact" w:wrap="none" w:vAnchor="page" w:hAnchor="page" w:x="1399" w:y="10501"/>
        <w:shd w:val="clear" w:color="auto" w:fill="auto"/>
        <w:spacing w:after="0" w:line="270" w:lineRule="exact"/>
        <w:ind w:right="839"/>
        <w:jc w:val="both"/>
      </w:pPr>
      <w:r>
        <w:t>generální ředitel</w:t>
      </w:r>
    </w:p>
    <w:p w:rsidR="00BB74EE" w:rsidRDefault="00C0392F" w:rsidP="00D01224">
      <w:pPr>
        <w:pStyle w:val="Zkladntext20"/>
        <w:framePr w:w="3997" w:h="913" w:hRule="exact" w:wrap="none" w:vAnchor="page" w:hAnchor="page" w:x="1399" w:y="10501"/>
        <w:shd w:val="clear" w:color="auto" w:fill="auto"/>
        <w:spacing w:after="0" w:line="270" w:lineRule="exact"/>
        <w:ind w:right="2027" w:firstLine="0"/>
        <w:jc w:val="both"/>
      </w:pPr>
      <w:r>
        <w:t>(objednatel)</w:t>
      </w:r>
    </w:p>
    <w:p w:rsidR="00BB74EE" w:rsidRDefault="00D01224">
      <w:pPr>
        <w:pStyle w:val="Titulekobrzku20"/>
        <w:framePr w:wrap="none" w:vAnchor="page" w:hAnchor="page" w:x="3998" w:y="10533"/>
        <w:shd w:val="clear" w:color="auto" w:fill="auto"/>
        <w:spacing w:line="230" w:lineRule="exact"/>
      </w:pPr>
      <w:r>
        <w:t>h.D.</w:t>
      </w:r>
    </w:p>
    <w:p w:rsidR="00BB74EE" w:rsidRDefault="00BB74EE">
      <w:pPr>
        <w:pStyle w:val="Zkladntext20"/>
        <w:framePr w:wrap="none" w:vAnchor="page" w:hAnchor="page" w:x="2083" w:y="11448"/>
        <w:shd w:val="clear" w:color="auto" w:fill="auto"/>
        <w:spacing w:after="0" w:line="220" w:lineRule="exact"/>
        <w:ind w:firstLine="0"/>
      </w:pPr>
    </w:p>
    <w:p w:rsidR="00BB74EE" w:rsidRDefault="00C0392F">
      <w:pPr>
        <w:pStyle w:val="Zkladntext30"/>
        <w:framePr w:w="3215" w:h="567" w:hRule="exact" w:wrap="none" w:vAnchor="page" w:hAnchor="page" w:x="6028" w:y="10511"/>
        <w:shd w:val="clear" w:color="auto" w:fill="auto"/>
        <w:spacing w:after="7" w:line="230" w:lineRule="exact"/>
        <w:jc w:val="left"/>
      </w:pPr>
      <w:r>
        <w:t>Ing. Libor Veselý</w:t>
      </w:r>
      <w:bookmarkStart w:id="1" w:name="_GoBack"/>
    </w:p>
    <w:p w:rsidR="00BB74EE" w:rsidRDefault="00C0392F">
      <w:pPr>
        <w:pStyle w:val="Zkladntext20"/>
        <w:framePr w:w="3215" w:h="567" w:hRule="exact" w:wrap="none" w:vAnchor="page" w:hAnchor="page" w:x="6028" w:y="10511"/>
        <w:shd w:val="clear" w:color="auto" w:fill="auto"/>
        <w:spacing w:after="0" w:line="220" w:lineRule="exact"/>
        <w:ind w:firstLine="0"/>
      </w:pPr>
      <w:r>
        <w:t>(zhotovitel)</w:t>
      </w:r>
    </w:p>
    <w:bookmarkEnd w:id="1"/>
    <w:p w:rsidR="00BB74EE" w:rsidRDefault="00BB74EE">
      <w:pPr>
        <w:rPr>
          <w:sz w:val="2"/>
          <w:szCs w:val="2"/>
        </w:rPr>
      </w:pPr>
    </w:p>
    <w:sectPr w:rsidR="00BB74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2F" w:rsidRDefault="00C0392F">
      <w:r>
        <w:separator/>
      </w:r>
    </w:p>
  </w:endnote>
  <w:endnote w:type="continuationSeparator" w:id="0">
    <w:p w:rsidR="00C0392F" w:rsidRDefault="00C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2F" w:rsidRDefault="00C0392F"/>
  </w:footnote>
  <w:footnote w:type="continuationSeparator" w:id="0">
    <w:p w:rsidR="00C0392F" w:rsidRDefault="00C03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0D1F"/>
    <w:multiLevelType w:val="multilevel"/>
    <w:tmpl w:val="15745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21BBD"/>
    <w:multiLevelType w:val="multilevel"/>
    <w:tmpl w:val="AC469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3F2F80"/>
    <w:multiLevelType w:val="multilevel"/>
    <w:tmpl w:val="E5B03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74EE"/>
    <w:rsid w:val="004763D3"/>
    <w:rsid w:val="006026D5"/>
    <w:rsid w:val="00BB74EE"/>
    <w:rsid w:val="00C0392F"/>
    <w:rsid w:val="00D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209"/>
  <w15:docId w15:val="{8BC6D6B2-4E29-46A7-A716-A0E979F9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0ptTundkovn0ptMtko33">
    <w:name w:val="Základní text (2) + 20 pt;Tučné;Řádkování 0 pt;Měřítko 33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33"/>
      <w:position w:val="0"/>
      <w:sz w:val="40"/>
      <w:szCs w:val="4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Georgia4ptTundkovn1pt">
    <w:name w:val="Titulek obrázku (3) + Georgia;4 pt;Tučné;Řádkování 1 pt"/>
    <w:basedOn w:val="Titulekobrzku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Georgia">
    <w:name w:val="Titulek obrázku + Georgia"/>
    <w:basedOn w:val="Titulekobrzku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Georgia4ptTundkovn1pt">
    <w:name w:val="Titulek obrázku + Georgia;4 pt;Tučné;Řádkování 1 pt"/>
    <w:basedOn w:val="Titulekobrzku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jc w:val="both"/>
      <w:outlineLvl w:val="0"/>
    </w:pPr>
    <w:rPr>
      <w:rFonts w:ascii="Arial" w:eastAsia="Arial" w:hAnsi="Arial" w:cs="Arial"/>
      <w:spacing w:val="-30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198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DCD8-A026-4A7F-B4D3-4AB4E959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c224.pk.gr-20161219173426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c224.pk.gr-20161219173426</dc:title>
  <dc:subject/>
  <dc:creator/>
  <cp:keywords/>
  <cp:lastModifiedBy>Zdenka Šímová</cp:lastModifiedBy>
  <cp:revision>4</cp:revision>
  <dcterms:created xsi:type="dcterms:W3CDTF">2016-12-19T15:42:00Z</dcterms:created>
  <dcterms:modified xsi:type="dcterms:W3CDTF">2016-12-19T15:53:00Z</dcterms:modified>
</cp:coreProperties>
</file>