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79" w:rsidRDefault="000E3C79">
      <w:pPr>
        <w:pStyle w:val="Zkladntext"/>
        <w:rPr>
          <w:rFonts w:ascii="Times New Roman"/>
        </w:rPr>
      </w:pPr>
      <w:bookmarkStart w:id="0" w:name="_GoBack"/>
      <w:bookmarkEnd w:id="0"/>
    </w:p>
    <w:p w:rsidR="000E3C79" w:rsidRDefault="000E3C79">
      <w:pPr>
        <w:pStyle w:val="Zkladntext"/>
        <w:spacing w:before="4"/>
        <w:rPr>
          <w:rFonts w:ascii="Times New Roman"/>
          <w:sz w:val="21"/>
        </w:rPr>
      </w:pPr>
    </w:p>
    <w:p w:rsidR="000E3C79" w:rsidRDefault="00A01542">
      <w:pPr>
        <w:spacing w:before="52" w:line="244" w:lineRule="auto"/>
        <w:ind w:left="460" w:right="942"/>
        <w:rPr>
          <w:b/>
          <w:sz w:val="32"/>
        </w:rPr>
      </w:pPr>
      <w:r>
        <w:rPr>
          <w:b/>
          <w:sz w:val="32"/>
        </w:rPr>
        <w:t>Stanovení finančních oprav, které se použijí pro výdaje spolufinancované z prostředků SFŽP ČR v případě porušení povinností při zadávání zakázek / veřejných zakázek</w:t>
      </w:r>
    </w:p>
    <w:p w:rsidR="000E3C79" w:rsidRDefault="000E3C79">
      <w:pPr>
        <w:pStyle w:val="Zkladntext"/>
        <w:rPr>
          <w:b/>
          <w:sz w:val="32"/>
        </w:rPr>
      </w:pPr>
    </w:p>
    <w:p w:rsidR="000E3C79" w:rsidRDefault="000E3C79">
      <w:pPr>
        <w:pStyle w:val="Zkladntext"/>
        <w:spacing w:before="3"/>
        <w:rPr>
          <w:b/>
          <w:sz w:val="41"/>
        </w:rPr>
      </w:pPr>
    </w:p>
    <w:p w:rsidR="000E3C79" w:rsidRDefault="00A01542">
      <w:pPr>
        <w:tabs>
          <w:tab w:val="left" w:pos="5009"/>
        </w:tabs>
        <w:ind w:left="460"/>
        <w:rPr>
          <w:sz w:val="18"/>
        </w:rPr>
      </w:pPr>
      <w:r>
        <w:rPr>
          <w:sz w:val="18"/>
        </w:rPr>
        <w:t>Evidenční číslo:</w:t>
      </w:r>
      <w:r>
        <w:rPr>
          <w:sz w:val="18"/>
        </w:rPr>
        <w:tab/>
        <w:t>2017010002</w:t>
      </w:r>
    </w:p>
    <w:p w:rsidR="000E3C79" w:rsidRDefault="00A01542">
      <w:pPr>
        <w:tabs>
          <w:tab w:val="left" w:pos="5009"/>
        </w:tabs>
        <w:spacing w:before="65"/>
        <w:ind w:left="460"/>
        <w:rPr>
          <w:sz w:val="18"/>
        </w:rPr>
      </w:pPr>
      <w:r>
        <w:rPr>
          <w:sz w:val="18"/>
        </w:rPr>
        <w:t>Příjemce podpory:</w:t>
      </w:r>
      <w:r>
        <w:rPr>
          <w:sz w:val="18"/>
        </w:rPr>
        <w:tab/>
        <w:t>Město Litomyšl</w:t>
      </w:r>
    </w:p>
    <w:p w:rsidR="000E3C79" w:rsidRDefault="000E3C79">
      <w:pPr>
        <w:pStyle w:val="Zkladntext"/>
        <w:rPr>
          <w:sz w:val="18"/>
        </w:rPr>
      </w:pPr>
    </w:p>
    <w:p w:rsidR="000E3C79" w:rsidRDefault="000E3C79">
      <w:pPr>
        <w:pStyle w:val="Zkladntext"/>
        <w:rPr>
          <w:sz w:val="18"/>
        </w:rPr>
      </w:pPr>
    </w:p>
    <w:p w:rsidR="000E3C79" w:rsidRDefault="000E3C79">
      <w:pPr>
        <w:pStyle w:val="Zkladntext"/>
        <w:spacing w:before="5"/>
        <w:rPr>
          <w:sz w:val="26"/>
        </w:rPr>
      </w:pPr>
    </w:p>
    <w:p w:rsidR="000E3C79" w:rsidRDefault="00A01542">
      <w:pPr>
        <w:pStyle w:val="Odstavecseseznamem"/>
        <w:numPr>
          <w:ilvl w:val="0"/>
          <w:numId w:val="1"/>
        </w:numPr>
        <w:tabs>
          <w:tab w:val="left" w:pos="915"/>
        </w:tabs>
        <w:spacing w:before="0" w:line="247" w:lineRule="auto"/>
        <w:ind w:right="574"/>
        <w:jc w:val="both"/>
        <w:rPr>
          <w:sz w:val="20"/>
        </w:rPr>
      </w:pPr>
      <w:r>
        <w:rPr>
          <w:sz w:val="20"/>
        </w:rPr>
        <w:t xml:space="preserve">Podle této přílohy se v souladu se zákonem č. 218/2000 Sb., o rozpočtových pravidel a o změně některých souvisejících zákonů, ve znění pozdějších předpisů, stanovuje výše finanční opravy za </w:t>
      </w:r>
      <w:r>
        <w:rPr>
          <w:spacing w:val="8"/>
          <w:sz w:val="20"/>
        </w:rPr>
        <w:t xml:space="preserve">porušení </w:t>
      </w:r>
      <w:r>
        <w:rPr>
          <w:spacing w:val="9"/>
          <w:sz w:val="20"/>
        </w:rPr>
        <w:t xml:space="preserve">rozpočtové </w:t>
      </w:r>
      <w:r>
        <w:rPr>
          <w:spacing w:val="8"/>
          <w:sz w:val="20"/>
        </w:rPr>
        <w:t xml:space="preserve">kázně </w:t>
      </w:r>
      <w:r>
        <w:rPr>
          <w:sz w:val="20"/>
        </w:rPr>
        <w:t xml:space="preserve">v </w:t>
      </w:r>
      <w:r>
        <w:rPr>
          <w:spacing w:val="8"/>
          <w:sz w:val="20"/>
        </w:rPr>
        <w:t xml:space="preserve">případě </w:t>
      </w:r>
      <w:r>
        <w:rPr>
          <w:spacing w:val="9"/>
          <w:sz w:val="20"/>
        </w:rPr>
        <w:t xml:space="preserve">pochybení, </w:t>
      </w:r>
      <w:r>
        <w:rPr>
          <w:spacing w:val="8"/>
          <w:sz w:val="20"/>
        </w:rPr>
        <w:t xml:space="preserve">které spočívá </w:t>
      </w:r>
      <w:r>
        <w:rPr>
          <w:sz w:val="20"/>
        </w:rPr>
        <w:t xml:space="preserve">v </w:t>
      </w:r>
      <w:r>
        <w:rPr>
          <w:spacing w:val="8"/>
          <w:sz w:val="20"/>
        </w:rPr>
        <w:t>por</w:t>
      </w:r>
      <w:r>
        <w:rPr>
          <w:spacing w:val="8"/>
          <w:sz w:val="20"/>
        </w:rPr>
        <w:t xml:space="preserve">ušení </w:t>
      </w:r>
      <w:r>
        <w:rPr>
          <w:spacing w:val="10"/>
          <w:sz w:val="20"/>
        </w:rPr>
        <w:t xml:space="preserve">povinností </w:t>
      </w:r>
      <w:r>
        <w:rPr>
          <w:spacing w:val="3"/>
          <w:sz w:val="20"/>
        </w:rPr>
        <w:t xml:space="preserve">stanovených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čl. IV. </w:t>
      </w:r>
      <w:r>
        <w:rPr>
          <w:spacing w:val="3"/>
          <w:sz w:val="20"/>
        </w:rPr>
        <w:t xml:space="preserve">odst. </w:t>
      </w:r>
      <w:r>
        <w:rPr>
          <w:sz w:val="20"/>
        </w:rPr>
        <w:t xml:space="preserve">1 </w:t>
      </w:r>
      <w:r>
        <w:rPr>
          <w:spacing w:val="3"/>
          <w:sz w:val="20"/>
        </w:rPr>
        <w:t xml:space="preserve">písm. </w:t>
      </w:r>
      <w:r>
        <w:rPr>
          <w:sz w:val="20"/>
        </w:rPr>
        <w:t xml:space="preserve">s) </w:t>
      </w:r>
      <w:r>
        <w:rPr>
          <w:spacing w:val="3"/>
          <w:sz w:val="20"/>
        </w:rPr>
        <w:t xml:space="preserve">Smlouvy </w:t>
      </w:r>
      <w:r>
        <w:rPr>
          <w:spacing w:val="2"/>
          <w:sz w:val="20"/>
        </w:rPr>
        <w:t xml:space="preserve">při </w:t>
      </w:r>
      <w:r>
        <w:rPr>
          <w:spacing w:val="3"/>
          <w:sz w:val="20"/>
        </w:rPr>
        <w:t xml:space="preserve">zadávání zakázek/veřejných zakázek </w:t>
      </w:r>
      <w:r>
        <w:rPr>
          <w:spacing w:val="4"/>
          <w:sz w:val="20"/>
        </w:rPr>
        <w:t xml:space="preserve">(dále </w:t>
      </w:r>
      <w:r>
        <w:rPr>
          <w:sz w:val="20"/>
        </w:rPr>
        <w:t xml:space="preserve">souhrnně jen „veřejné zakázky“), zejména v nedodržení postupu podle zákona č. 134/2016 Sb.,  o </w:t>
      </w:r>
      <w:r>
        <w:rPr>
          <w:spacing w:val="2"/>
          <w:sz w:val="20"/>
        </w:rPr>
        <w:t xml:space="preserve">zadávání veřejných zakázek,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znění účinném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době </w:t>
      </w:r>
      <w:r>
        <w:rPr>
          <w:spacing w:val="2"/>
          <w:sz w:val="20"/>
        </w:rPr>
        <w:t xml:space="preserve">zahájení zadávacího řízení, </w:t>
      </w:r>
      <w:r>
        <w:rPr>
          <w:spacing w:val="3"/>
          <w:sz w:val="20"/>
        </w:rPr>
        <w:t xml:space="preserve">případně </w:t>
      </w:r>
      <w:r>
        <w:rPr>
          <w:sz w:val="20"/>
        </w:rPr>
        <w:t xml:space="preserve">zákona č. 137/2006 Sb., o veřejných zakázkách, ve znění účinném v době zahájení zadávacího </w:t>
      </w:r>
      <w:r>
        <w:rPr>
          <w:spacing w:val="2"/>
          <w:sz w:val="20"/>
        </w:rPr>
        <w:t xml:space="preserve">řízení (dále souhrnně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„zákon“) a/nebo nedodržení postupu stanoveného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Pokynech </w:t>
      </w:r>
      <w:r>
        <w:rPr>
          <w:spacing w:val="3"/>
          <w:sz w:val="20"/>
        </w:rPr>
        <w:t xml:space="preserve">pro </w:t>
      </w:r>
      <w:r>
        <w:rPr>
          <w:sz w:val="20"/>
        </w:rPr>
        <w:t>zadávání veřejných zakázek v OPŽP 2014 –</w:t>
      </w:r>
      <w:r>
        <w:rPr>
          <w:sz w:val="20"/>
        </w:rPr>
        <w:t xml:space="preserve"> 2020, ve znění účinném v době zahájení  </w:t>
      </w:r>
      <w:r>
        <w:rPr>
          <w:spacing w:val="12"/>
          <w:sz w:val="20"/>
        </w:rPr>
        <w:t xml:space="preserve"> </w:t>
      </w:r>
      <w:r>
        <w:rPr>
          <w:sz w:val="20"/>
        </w:rPr>
        <w:t>výběrového</w:t>
      </w:r>
    </w:p>
    <w:p w:rsidR="000E3C79" w:rsidRDefault="00A01542">
      <w:pPr>
        <w:pStyle w:val="Zkladntext"/>
        <w:spacing w:line="247" w:lineRule="auto"/>
        <w:ind w:left="915" w:right="591"/>
        <w:jc w:val="both"/>
      </w:pPr>
      <w:r>
        <w:t xml:space="preserve">/ zadávacího řízení (dále jen „Pokyny OPŽP“), případně v dokumentu Zadávání veřejných zakázek v OPŽP 2014 – 2020, ve znění účinném v době zahájení výběrového / zadávacího řízení (dále jen „Zadávání VZ v </w:t>
      </w:r>
      <w:r>
        <w:t>OPŽP“).</w:t>
      </w:r>
    </w:p>
    <w:p w:rsidR="000E3C79" w:rsidRDefault="00A01542">
      <w:pPr>
        <w:pStyle w:val="Odstavecseseznamem"/>
        <w:numPr>
          <w:ilvl w:val="0"/>
          <w:numId w:val="1"/>
        </w:numPr>
        <w:tabs>
          <w:tab w:val="left" w:pos="915"/>
        </w:tabs>
        <w:spacing w:line="247" w:lineRule="auto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 za něj žádná finanční</w:t>
      </w:r>
      <w:r>
        <w:rPr>
          <w:spacing w:val="47"/>
          <w:sz w:val="20"/>
        </w:rPr>
        <w:t xml:space="preserve"> </w:t>
      </w:r>
      <w:r>
        <w:rPr>
          <w:sz w:val="20"/>
        </w:rPr>
        <w:t>oprava.</w:t>
      </w:r>
    </w:p>
    <w:p w:rsidR="000E3C79" w:rsidRDefault="00A01542">
      <w:pPr>
        <w:pStyle w:val="Odstavecseseznamem"/>
        <w:numPr>
          <w:ilvl w:val="0"/>
          <w:numId w:val="1"/>
        </w:numPr>
        <w:tabs>
          <w:tab w:val="left" w:pos="915"/>
        </w:tabs>
        <w:spacing w:line="247" w:lineRule="auto"/>
        <w:ind w:right="597"/>
        <w:jc w:val="both"/>
        <w:rPr>
          <w:sz w:val="20"/>
        </w:rPr>
      </w:pPr>
      <w:r>
        <w:rPr>
          <w:sz w:val="20"/>
        </w:rPr>
        <w:t>Finanční oprava bude vždy stanovena paušální sazbou dle níže uvedených typů porušení a sazeb finančních</w:t>
      </w:r>
      <w:r>
        <w:rPr>
          <w:spacing w:val="3"/>
          <w:sz w:val="20"/>
        </w:rPr>
        <w:t xml:space="preserve"> </w:t>
      </w:r>
      <w:r>
        <w:rPr>
          <w:sz w:val="20"/>
        </w:rPr>
        <w:t>oprav</w:t>
      </w:r>
    </w:p>
    <w:p w:rsidR="000E3C79" w:rsidRDefault="00A01542">
      <w:pPr>
        <w:pStyle w:val="Odstavecseseznamem"/>
        <w:numPr>
          <w:ilvl w:val="0"/>
          <w:numId w:val="1"/>
        </w:numPr>
        <w:tabs>
          <w:tab w:val="left" w:pos="915"/>
        </w:tabs>
        <w:spacing w:line="247" w:lineRule="auto"/>
        <w:jc w:val="both"/>
        <w:rPr>
          <w:sz w:val="20"/>
        </w:rPr>
      </w:pPr>
      <w:r>
        <w:rPr>
          <w:sz w:val="20"/>
        </w:rPr>
        <w:t xml:space="preserve">Výše finanční opravy se vypočte z částky, která byla nebo má být poskytnuta z prostředků SFŽP ČR (tj. z částky dotace) v souvislosti s veřejnou zakázkou, u které se porušení   </w:t>
      </w:r>
      <w:r>
        <w:rPr>
          <w:spacing w:val="3"/>
          <w:sz w:val="20"/>
        </w:rPr>
        <w:t xml:space="preserve"> </w:t>
      </w:r>
      <w:r>
        <w:rPr>
          <w:sz w:val="20"/>
        </w:rPr>
        <w:t>vyskytlo.</w:t>
      </w:r>
    </w:p>
    <w:p w:rsidR="000E3C79" w:rsidRDefault="00A01542">
      <w:pPr>
        <w:pStyle w:val="Odstavecseseznamem"/>
        <w:numPr>
          <w:ilvl w:val="0"/>
          <w:numId w:val="1"/>
        </w:numPr>
        <w:tabs>
          <w:tab w:val="left" w:pos="915"/>
        </w:tabs>
        <w:spacing w:line="247" w:lineRule="auto"/>
        <w:ind w:right="589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pacing w:val="5"/>
          <w:sz w:val="20"/>
        </w:rPr>
        <w:t xml:space="preserve">případě, </w:t>
      </w:r>
      <w:r>
        <w:rPr>
          <w:spacing w:val="3"/>
          <w:sz w:val="20"/>
        </w:rPr>
        <w:t xml:space="preserve">že </w:t>
      </w:r>
      <w:r>
        <w:rPr>
          <w:sz w:val="20"/>
        </w:rPr>
        <w:t xml:space="preserve">u </w:t>
      </w:r>
      <w:r>
        <w:rPr>
          <w:spacing w:val="5"/>
          <w:sz w:val="20"/>
        </w:rPr>
        <w:t xml:space="preserve">veřejné zakázky </w:t>
      </w:r>
      <w:r>
        <w:rPr>
          <w:spacing w:val="4"/>
          <w:sz w:val="20"/>
        </w:rPr>
        <w:t xml:space="preserve">bude </w:t>
      </w:r>
      <w:r>
        <w:rPr>
          <w:spacing w:val="5"/>
          <w:sz w:val="20"/>
        </w:rPr>
        <w:t xml:space="preserve">identifikováno </w:t>
      </w:r>
      <w:r>
        <w:rPr>
          <w:spacing w:val="4"/>
          <w:sz w:val="20"/>
        </w:rPr>
        <w:t xml:space="preserve">více </w:t>
      </w:r>
      <w:r>
        <w:rPr>
          <w:spacing w:val="5"/>
          <w:sz w:val="20"/>
        </w:rPr>
        <w:t xml:space="preserve">porušení, </w:t>
      </w:r>
      <w:r>
        <w:rPr>
          <w:spacing w:val="4"/>
          <w:sz w:val="20"/>
        </w:rPr>
        <w:t xml:space="preserve">výše </w:t>
      </w:r>
      <w:r>
        <w:rPr>
          <w:spacing w:val="5"/>
          <w:sz w:val="20"/>
        </w:rPr>
        <w:t xml:space="preserve">finančních </w:t>
      </w:r>
      <w:r>
        <w:rPr>
          <w:spacing w:val="6"/>
          <w:sz w:val="20"/>
        </w:rPr>
        <w:t xml:space="preserve">oprav </w:t>
      </w:r>
      <w:r>
        <w:rPr>
          <w:spacing w:val="7"/>
          <w:sz w:val="20"/>
        </w:rPr>
        <w:t xml:space="preserve">stanovených </w:t>
      </w:r>
      <w:r>
        <w:rPr>
          <w:spacing w:val="4"/>
          <w:sz w:val="20"/>
        </w:rPr>
        <w:t xml:space="preserve">za  </w:t>
      </w:r>
      <w:r>
        <w:rPr>
          <w:spacing w:val="7"/>
          <w:sz w:val="20"/>
        </w:rPr>
        <w:t xml:space="preserve">jednotlivá porušení </w:t>
      </w:r>
      <w:r>
        <w:rPr>
          <w:spacing w:val="4"/>
          <w:sz w:val="20"/>
        </w:rPr>
        <w:t xml:space="preserve">se  </w:t>
      </w:r>
      <w:r>
        <w:rPr>
          <w:spacing w:val="7"/>
          <w:sz w:val="20"/>
        </w:rPr>
        <w:t xml:space="preserve">nesčítají </w:t>
      </w:r>
      <w:r>
        <w:rPr>
          <w:sz w:val="20"/>
        </w:rPr>
        <w:t xml:space="preserve">a  </w:t>
      </w:r>
      <w:r>
        <w:rPr>
          <w:spacing w:val="7"/>
          <w:sz w:val="20"/>
        </w:rPr>
        <w:t xml:space="preserve">výsledná finanční </w:t>
      </w:r>
      <w:r>
        <w:rPr>
          <w:spacing w:val="6"/>
          <w:sz w:val="20"/>
        </w:rPr>
        <w:t xml:space="preserve">oprava </w:t>
      </w:r>
      <w:r>
        <w:rPr>
          <w:spacing w:val="4"/>
          <w:sz w:val="20"/>
        </w:rPr>
        <w:t xml:space="preserve">je  </w:t>
      </w:r>
      <w:r>
        <w:rPr>
          <w:spacing w:val="8"/>
          <w:sz w:val="20"/>
        </w:rPr>
        <w:t xml:space="preserve">stanovena   </w:t>
      </w:r>
      <w:r>
        <w:rPr>
          <w:sz w:val="20"/>
        </w:rPr>
        <w:t xml:space="preserve">s </w:t>
      </w:r>
      <w:r>
        <w:rPr>
          <w:spacing w:val="6"/>
          <w:sz w:val="20"/>
        </w:rPr>
        <w:t xml:space="preserve">ohledem  </w:t>
      </w:r>
      <w:r>
        <w:rPr>
          <w:spacing w:val="4"/>
          <w:sz w:val="20"/>
        </w:rPr>
        <w:t xml:space="preserve">na  </w:t>
      </w:r>
      <w:r>
        <w:rPr>
          <w:spacing w:val="7"/>
          <w:sz w:val="20"/>
        </w:rPr>
        <w:t>nejzávažnější</w:t>
      </w:r>
      <w:r>
        <w:rPr>
          <w:spacing w:val="18"/>
          <w:sz w:val="20"/>
        </w:rPr>
        <w:t xml:space="preserve"> </w:t>
      </w:r>
      <w:r>
        <w:rPr>
          <w:spacing w:val="8"/>
          <w:sz w:val="20"/>
        </w:rPr>
        <w:t>porušení.</w:t>
      </w:r>
    </w:p>
    <w:p w:rsidR="000E3C79" w:rsidRDefault="00A01542">
      <w:pPr>
        <w:pStyle w:val="Odstavecseseznamem"/>
        <w:numPr>
          <w:ilvl w:val="0"/>
          <w:numId w:val="1"/>
        </w:numPr>
        <w:tabs>
          <w:tab w:val="left" w:pos="915"/>
        </w:tabs>
        <w:spacing w:line="247" w:lineRule="auto"/>
        <w:ind w:right="587"/>
        <w:jc w:val="both"/>
        <w:rPr>
          <w:sz w:val="20"/>
        </w:rPr>
      </w:pPr>
      <w:r>
        <w:rPr>
          <w:spacing w:val="3"/>
          <w:sz w:val="20"/>
        </w:rPr>
        <w:t xml:space="preserve">Závažnost porušení </w:t>
      </w:r>
      <w:r>
        <w:rPr>
          <w:sz w:val="20"/>
        </w:rPr>
        <w:t xml:space="preserve">je </w:t>
      </w:r>
      <w:r>
        <w:rPr>
          <w:spacing w:val="3"/>
          <w:sz w:val="20"/>
        </w:rPr>
        <w:t xml:space="preserve">posuzována zejména </w:t>
      </w:r>
      <w:r>
        <w:rPr>
          <w:sz w:val="20"/>
        </w:rPr>
        <w:t xml:space="preserve">z </w:t>
      </w:r>
      <w:r>
        <w:rPr>
          <w:spacing w:val="3"/>
          <w:sz w:val="20"/>
        </w:rPr>
        <w:t xml:space="preserve">hlediska jeho skutečného nebo možného </w:t>
      </w:r>
      <w:r>
        <w:rPr>
          <w:spacing w:val="4"/>
          <w:sz w:val="20"/>
        </w:rPr>
        <w:t>vlivu</w:t>
      </w:r>
      <w:r>
        <w:rPr>
          <w:spacing w:val="58"/>
          <w:sz w:val="20"/>
        </w:rPr>
        <w:t xml:space="preserve"> </w:t>
      </w:r>
      <w:r>
        <w:rPr>
          <w:sz w:val="20"/>
        </w:rPr>
        <w:t>na výsledek vý</w:t>
      </w:r>
      <w:r>
        <w:rPr>
          <w:sz w:val="20"/>
        </w:rPr>
        <w:t xml:space="preserve">běrového / zadávacího řízení, z hlediska míry porušení základních zásad zadávání veřejných zakázek a z hlediska míry porušení principů hospodárnosti, efektivity a účelnosti </w:t>
      </w:r>
      <w:r>
        <w:rPr>
          <w:spacing w:val="2"/>
          <w:sz w:val="20"/>
        </w:rPr>
        <w:t xml:space="preserve">při </w:t>
      </w:r>
      <w:r>
        <w:rPr>
          <w:spacing w:val="8"/>
          <w:sz w:val="20"/>
        </w:rPr>
        <w:t xml:space="preserve">vynakládání veřejných prostředků. </w:t>
      </w:r>
      <w:r>
        <w:rPr>
          <w:spacing w:val="7"/>
          <w:sz w:val="20"/>
        </w:rPr>
        <w:t xml:space="preserve">Porušení </w:t>
      </w:r>
      <w:r>
        <w:rPr>
          <w:spacing w:val="4"/>
          <w:sz w:val="20"/>
        </w:rPr>
        <w:t xml:space="preserve">je  </w:t>
      </w:r>
      <w:r>
        <w:rPr>
          <w:spacing w:val="7"/>
          <w:sz w:val="20"/>
        </w:rPr>
        <w:t xml:space="preserve">nutno </w:t>
      </w:r>
      <w:r>
        <w:rPr>
          <w:spacing w:val="8"/>
          <w:sz w:val="20"/>
        </w:rPr>
        <w:t xml:space="preserve">považovat </w:t>
      </w:r>
      <w:r>
        <w:rPr>
          <w:spacing w:val="4"/>
          <w:sz w:val="20"/>
        </w:rPr>
        <w:t xml:space="preserve">za  </w:t>
      </w:r>
      <w:r>
        <w:rPr>
          <w:spacing w:val="7"/>
          <w:sz w:val="20"/>
        </w:rPr>
        <w:t xml:space="preserve">závažné </w:t>
      </w:r>
      <w:r>
        <w:rPr>
          <w:spacing w:val="9"/>
          <w:sz w:val="20"/>
        </w:rPr>
        <w:t>před</w:t>
      </w:r>
      <w:r>
        <w:rPr>
          <w:spacing w:val="9"/>
          <w:sz w:val="20"/>
        </w:rPr>
        <w:t xml:space="preserve">evším     </w:t>
      </w:r>
      <w:r>
        <w:rPr>
          <w:sz w:val="20"/>
        </w:rPr>
        <w:t xml:space="preserve">v </w:t>
      </w:r>
      <w:r>
        <w:rPr>
          <w:spacing w:val="9"/>
          <w:sz w:val="20"/>
        </w:rPr>
        <w:t xml:space="preserve">případech, </w:t>
      </w:r>
      <w:r>
        <w:rPr>
          <w:spacing w:val="6"/>
          <w:sz w:val="20"/>
        </w:rPr>
        <w:t xml:space="preserve">kdy  </w:t>
      </w:r>
      <w:r>
        <w:rPr>
          <w:sz w:val="20"/>
        </w:rPr>
        <w:t xml:space="preserve">v </w:t>
      </w:r>
      <w:r>
        <w:rPr>
          <w:spacing w:val="7"/>
          <w:sz w:val="20"/>
        </w:rPr>
        <w:t xml:space="preserve">jeho </w:t>
      </w:r>
      <w:r>
        <w:rPr>
          <w:spacing w:val="8"/>
          <w:sz w:val="20"/>
        </w:rPr>
        <w:t xml:space="preserve">důsledku došlo </w:t>
      </w:r>
      <w:r>
        <w:rPr>
          <w:sz w:val="20"/>
        </w:rPr>
        <w:t xml:space="preserve">k </w:t>
      </w:r>
      <w:r>
        <w:rPr>
          <w:spacing w:val="8"/>
          <w:sz w:val="20"/>
        </w:rPr>
        <w:t xml:space="preserve">odrazení </w:t>
      </w:r>
      <w:r>
        <w:rPr>
          <w:spacing w:val="9"/>
          <w:sz w:val="20"/>
        </w:rPr>
        <w:t xml:space="preserve">potenciálních dodavatelů </w:t>
      </w:r>
      <w:r>
        <w:rPr>
          <w:spacing w:val="5"/>
          <w:sz w:val="20"/>
        </w:rPr>
        <w:t xml:space="preserve">od  </w:t>
      </w:r>
      <w:r>
        <w:rPr>
          <w:spacing w:val="10"/>
          <w:sz w:val="20"/>
        </w:rPr>
        <w:t xml:space="preserve">účasti   </w:t>
      </w:r>
      <w:r>
        <w:rPr>
          <w:sz w:val="20"/>
        </w:rPr>
        <w:t>ve výběrovém / zadávacím řízení nebo k zadání veřejné zakázky jinému dodavateli, než kterému měla být</w:t>
      </w:r>
      <w:r>
        <w:rPr>
          <w:spacing w:val="23"/>
          <w:sz w:val="20"/>
        </w:rPr>
        <w:t xml:space="preserve"> </w:t>
      </w:r>
      <w:r>
        <w:rPr>
          <w:sz w:val="20"/>
        </w:rPr>
        <w:t>zadána.</w:t>
      </w:r>
    </w:p>
    <w:p w:rsidR="000E3C79" w:rsidRDefault="00A01542">
      <w:pPr>
        <w:pStyle w:val="Odstavecseseznamem"/>
        <w:numPr>
          <w:ilvl w:val="0"/>
          <w:numId w:val="1"/>
        </w:numPr>
        <w:tabs>
          <w:tab w:val="left" w:pos="915"/>
        </w:tabs>
        <w:spacing w:line="247" w:lineRule="auto"/>
        <w:ind w:right="594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pacing w:val="2"/>
          <w:sz w:val="20"/>
        </w:rPr>
        <w:t xml:space="preserve">případě, </w:t>
      </w:r>
      <w:r>
        <w:rPr>
          <w:sz w:val="20"/>
        </w:rPr>
        <w:t xml:space="preserve">že </w:t>
      </w:r>
      <w:r>
        <w:rPr>
          <w:spacing w:val="2"/>
          <w:sz w:val="20"/>
        </w:rPr>
        <w:t>bude identifikováno porušení, kte</w:t>
      </w:r>
      <w:r>
        <w:rPr>
          <w:spacing w:val="2"/>
          <w:sz w:val="20"/>
        </w:rPr>
        <w:t xml:space="preserve">ré nelze podřadit </w:t>
      </w:r>
      <w:r>
        <w:rPr>
          <w:sz w:val="20"/>
        </w:rPr>
        <w:t xml:space="preserve">pod </w:t>
      </w:r>
      <w:r>
        <w:rPr>
          <w:spacing w:val="2"/>
          <w:sz w:val="20"/>
        </w:rPr>
        <w:t xml:space="preserve">konkrétní </w:t>
      </w:r>
      <w:r>
        <w:rPr>
          <w:sz w:val="20"/>
        </w:rPr>
        <w:t xml:space="preserve">typ </w:t>
      </w:r>
      <w:r>
        <w:rPr>
          <w:spacing w:val="3"/>
          <w:sz w:val="20"/>
        </w:rPr>
        <w:t xml:space="preserve">porušení </w:t>
      </w:r>
      <w:r>
        <w:rPr>
          <w:spacing w:val="2"/>
          <w:sz w:val="20"/>
        </w:rPr>
        <w:t>uvedený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pacing w:val="2"/>
          <w:sz w:val="20"/>
        </w:rPr>
        <w:t>tabulce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níže,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stanovena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finanční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oprava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analogicky</w:t>
      </w:r>
      <w:r>
        <w:rPr>
          <w:spacing w:val="20"/>
          <w:sz w:val="20"/>
        </w:rPr>
        <w:t xml:space="preserve"> </w:t>
      </w:r>
      <w:r>
        <w:rPr>
          <w:sz w:val="20"/>
        </w:rPr>
        <w:t>dle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zásady</w:t>
      </w:r>
      <w:r>
        <w:rPr>
          <w:spacing w:val="20"/>
          <w:sz w:val="20"/>
        </w:rPr>
        <w:t xml:space="preserve"> </w:t>
      </w:r>
      <w:r>
        <w:rPr>
          <w:spacing w:val="3"/>
          <w:sz w:val="20"/>
        </w:rPr>
        <w:t>přiměřenosti.</w:t>
      </w:r>
    </w:p>
    <w:p w:rsidR="000E3C79" w:rsidRDefault="000E3C79">
      <w:pPr>
        <w:pStyle w:val="Zkladntext"/>
        <w:spacing w:before="6"/>
        <w:rPr>
          <w:sz w:val="25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639"/>
        <w:gridCol w:w="3003"/>
        <w:gridCol w:w="3003"/>
      </w:tblGrid>
      <w:tr w:rsidR="000E3C79">
        <w:trPr>
          <w:trHeight w:hRule="exact" w:val="336"/>
        </w:trPr>
        <w:tc>
          <w:tcPr>
            <w:tcW w:w="455" w:type="dxa"/>
          </w:tcPr>
          <w:p w:rsidR="000E3C79" w:rsidRDefault="00A01542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Č.</w:t>
            </w:r>
          </w:p>
        </w:tc>
        <w:tc>
          <w:tcPr>
            <w:tcW w:w="2639" w:type="dxa"/>
          </w:tcPr>
          <w:p w:rsidR="000E3C79" w:rsidRDefault="00A01542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Typ porušení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Popis porušení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Sazba finanční opravy</w:t>
            </w:r>
          </w:p>
        </w:tc>
      </w:tr>
    </w:tbl>
    <w:p w:rsidR="000E3C79" w:rsidRDefault="000E3C79">
      <w:pPr>
        <w:rPr>
          <w:sz w:val="18"/>
        </w:rPr>
        <w:sectPr w:rsidR="000E3C79">
          <w:headerReference w:type="default" r:id="rId7"/>
          <w:footerReference w:type="default" r:id="rId8"/>
          <w:type w:val="continuous"/>
          <w:pgSz w:w="11900" w:h="16840"/>
          <w:pgMar w:top="1960" w:right="860" w:bottom="1940" w:left="1000" w:header="817" w:footer="1740" w:gutter="0"/>
          <w:pgNumType w:start="1"/>
          <w:cols w:space="708"/>
        </w:sectPr>
      </w:pPr>
    </w:p>
    <w:p w:rsidR="000E3C79" w:rsidRDefault="000E3C79">
      <w:pPr>
        <w:pStyle w:val="Zkladntext"/>
        <w:rPr>
          <w:rFonts w:ascii="Times New Roman"/>
        </w:rPr>
      </w:pPr>
    </w:p>
    <w:p w:rsidR="000E3C79" w:rsidRDefault="000E3C79">
      <w:pPr>
        <w:pStyle w:val="Zkladntext"/>
        <w:spacing w:before="9"/>
        <w:rPr>
          <w:rFonts w:ascii="Times New Roman"/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639"/>
        <w:gridCol w:w="3003"/>
        <w:gridCol w:w="3003"/>
      </w:tblGrid>
      <w:tr w:rsidR="000E3C79">
        <w:trPr>
          <w:trHeight w:hRule="exact" w:val="360"/>
        </w:trPr>
        <w:tc>
          <w:tcPr>
            <w:tcW w:w="455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39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165"/>
              <w:rPr>
                <w:sz w:val="20"/>
              </w:rPr>
            </w:pPr>
            <w:r>
              <w:rPr>
                <w:sz w:val="20"/>
              </w:rPr>
              <w:t>Nedodržení požadovaného způsobu zahájení řízení a jeho uveřejnění</w:t>
            </w:r>
          </w:p>
          <w:p w:rsidR="000E3C79" w:rsidRDefault="00A01542">
            <w:pPr>
              <w:pStyle w:val="TableParagraph"/>
              <w:spacing w:before="0" w:line="233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3C79" w:rsidRDefault="00A01542">
            <w:pPr>
              <w:pStyle w:val="TableParagraph"/>
              <w:spacing w:before="6" w:line="247" w:lineRule="auto"/>
              <w:ind w:right="204"/>
              <w:rPr>
                <w:sz w:val="20"/>
              </w:rPr>
            </w:pPr>
            <w:r>
              <w:rPr>
                <w:sz w:val="20"/>
              </w:rPr>
              <w:t>neoprávněné přímé zadání (např. neoprávněné užití jednacího řízení bez uveřejnění)</w:t>
            </w:r>
          </w:p>
        </w:tc>
        <w:tc>
          <w:tcPr>
            <w:tcW w:w="3003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719"/>
              <w:rPr>
                <w:sz w:val="20"/>
              </w:rPr>
            </w:pPr>
            <w:r>
              <w:rPr>
                <w:sz w:val="20"/>
              </w:rPr>
              <w:t>Zadavatel zadal veřejnou zakázku, aniž by zahájil výběrové/zadávací řízení</w:t>
            </w:r>
          </w:p>
          <w:p w:rsidR="000E3C79" w:rsidRDefault="00A01542">
            <w:pPr>
              <w:pStyle w:val="TableParagraph"/>
              <w:spacing w:before="0" w:line="247" w:lineRule="auto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v souladu se zákonem nebo výběrové řízení v souladu s Pokyny OPŽP, příp. s dokumentem Zadávání VZ </w:t>
            </w:r>
            <w:r>
              <w:rPr>
                <w:sz w:val="20"/>
              </w:rPr>
              <w:t>v OPŽP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E3C79">
        <w:trPr>
          <w:trHeight w:hRule="exact" w:val="168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69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 potenciálním dodavatelům přístup k zadávané veřejné zakázce</w:t>
            </w:r>
          </w:p>
        </w:tc>
      </w:tr>
      <w:tr w:rsidR="000E3C79">
        <w:trPr>
          <w:trHeight w:hRule="exact" w:val="840"/>
        </w:trPr>
        <w:tc>
          <w:tcPr>
            <w:tcW w:w="455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39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267"/>
              <w:rPr>
                <w:sz w:val="20"/>
              </w:rPr>
            </w:pPr>
            <w:r>
              <w:rPr>
                <w:sz w:val="20"/>
              </w:rPr>
              <w:t>Neoprávněné rozdělení předmětu veřejné zakázky</w:t>
            </w:r>
          </w:p>
        </w:tc>
        <w:tc>
          <w:tcPr>
            <w:tcW w:w="3003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133"/>
              <w:rPr>
                <w:sz w:val="20"/>
              </w:rPr>
            </w:pPr>
            <w:r>
              <w:rPr>
                <w:sz w:val="20"/>
              </w:rPr>
              <w:t>Zadavatel uměle rozdělil předmět veřejné zakázky tak, že tím došlo ke snížení předpokládané hodnoty pod finanční limity stanovené</w:t>
            </w:r>
          </w:p>
          <w:p w:rsidR="000E3C79" w:rsidRDefault="00A01542">
            <w:pPr>
              <w:pStyle w:val="TableParagraph"/>
              <w:spacing w:before="0" w:line="247" w:lineRule="auto"/>
              <w:ind w:right="552"/>
              <w:rPr>
                <w:sz w:val="20"/>
              </w:rPr>
            </w:pPr>
            <w:r>
              <w:rPr>
                <w:sz w:val="20"/>
              </w:rPr>
              <w:t>v zákoně nebo v Pokynech OPŽP, příp. v dokumentu Zadávání VZ v OPŽP, čímž nebylo zajištěno řádné uveřejnění veřejné zakázky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10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>0 %, pokud veřejná zakázka nebyla uveřejněna, ačkoliv se na ni tato povinnost vztahovala</w:t>
            </w:r>
          </w:p>
        </w:tc>
      </w:tr>
      <w:tr w:rsidR="000E3C79">
        <w:trPr>
          <w:trHeight w:hRule="exact" w:val="168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69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 potenciálním dodavatelům přístup k zadávané veřejné zakázce</w:t>
            </w:r>
          </w:p>
        </w:tc>
      </w:tr>
      <w:tr w:rsidR="000E3C79">
        <w:trPr>
          <w:trHeight w:hRule="exact" w:val="1560"/>
        </w:trPr>
        <w:tc>
          <w:tcPr>
            <w:tcW w:w="455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39" w:type="dxa"/>
          </w:tcPr>
          <w:p w:rsidR="000E3C79" w:rsidRDefault="00A01542">
            <w:pPr>
              <w:pStyle w:val="TableParagraph"/>
              <w:spacing w:line="247" w:lineRule="auto"/>
              <w:ind w:right="334"/>
              <w:rPr>
                <w:sz w:val="20"/>
              </w:rPr>
            </w:pPr>
            <w:r>
              <w:rPr>
                <w:sz w:val="20"/>
              </w:rPr>
              <w:t>Chybějící či nedostatečné zdůvodnění nerozdělení veřejné zakázky na části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119"/>
              <w:rPr>
                <w:sz w:val="20"/>
              </w:rPr>
            </w:pPr>
            <w:r>
              <w:rPr>
                <w:sz w:val="20"/>
              </w:rPr>
              <w:t>Zadavatel nerozdělil nadlimitní veřejnou zakázku na části dle zákona a toto rozhodnutí v písemné zprávě zadavatele neodůvodnil či toto odůvodnění nebylo dostatečné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E3C79">
        <w:trPr>
          <w:trHeight w:hRule="exact" w:val="1080"/>
        </w:trPr>
        <w:tc>
          <w:tcPr>
            <w:tcW w:w="455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39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8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z w:val="20"/>
              </w:rPr>
              <w:t xml:space="preserve"> minimální délky lhůty pro podání nabídek, předběžných nabídek nebo žádostí o účast</w:t>
            </w:r>
          </w:p>
          <w:p w:rsidR="000E3C79" w:rsidRDefault="00A01542">
            <w:pPr>
              <w:pStyle w:val="TableParagraph"/>
              <w:spacing w:before="0" w:line="233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3C79" w:rsidRDefault="00A01542">
            <w:pPr>
              <w:pStyle w:val="TableParagraph"/>
              <w:spacing w:before="6" w:line="247" w:lineRule="auto"/>
              <w:ind w:right="79"/>
              <w:rPr>
                <w:sz w:val="20"/>
              </w:rPr>
            </w:pPr>
            <w:r>
              <w:rPr>
                <w:sz w:val="20"/>
              </w:rPr>
              <w:t>neprodloužení této lhůty v případě takové změny zadávacích podmínek, jejichž povaha to vyždaovala</w:t>
            </w:r>
          </w:p>
        </w:tc>
        <w:tc>
          <w:tcPr>
            <w:tcW w:w="3003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74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 nedosahovala minimálních lhůt stanovených</w:t>
            </w:r>
          </w:p>
          <w:p w:rsidR="000E3C79" w:rsidRDefault="00A01542">
            <w:pPr>
              <w:pStyle w:val="TableParagraph"/>
              <w:spacing w:before="0" w:line="247" w:lineRule="auto"/>
              <w:ind w:right="625"/>
              <w:jc w:val="both"/>
              <w:rPr>
                <w:sz w:val="20"/>
              </w:rPr>
            </w:pPr>
            <w:r>
              <w:rPr>
                <w:sz w:val="20"/>
              </w:rPr>
              <w:t>v zákoně nebo v Pokynech OPŽP, příp. v dokumentu Zadávání VZ v OPŽP</w:t>
            </w:r>
          </w:p>
          <w:p w:rsidR="000E3C79" w:rsidRDefault="00A01542">
            <w:pPr>
              <w:pStyle w:val="TableParagraph"/>
              <w:spacing w:before="0" w:line="247" w:lineRule="auto"/>
              <w:ind w:right="90"/>
              <w:rPr>
                <w:sz w:val="20"/>
              </w:rPr>
            </w:pPr>
            <w:r>
              <w:rPr>
                <w:sz w:val="20"/>
              </w:rPr>
              <w:t>nebo zadavatel v případě takové změny z</w:t>
            </w:r>
            <w:r>
              <w:rPr>
                <w:sz w:val="20"/>
              </w:rPr>
              <w:t>adávacích podmínek, jejichž povaha to vyžadovala, přiměřeně tuto lhůtu neprodloužil.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107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 lhůty, nebo byla lhůta rovna nebo kratší než 5 dnů.</w:t>
            </w:r>
          </w:p>
        </w:tc>
      </w:tr>
      <w:tr w:rsidR="000E3C79">
        <w:trPr>
          <w:trHeight w:hRule="exact" w:val="108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115"/>
              <w:rPr>
                <w:sz w:val="20"/>
              </w:rPr>
            </w:pPr>
            <w:r>
              <w:rPr>
                <w:sz w:val="20"/>
              </w:rPr>
              <w:t>25 %, pokud je zkrácení vyšší nebo rovno 50 % délky minimální lhůty (ale nedosahuje 85 %)</w:t>
            </w:r>
          </w:p>
        </w:tc>
      </w:tr>
      <w:tr w:rsidR="000E3C79">
        <w:trPr>
          <w:trHeight w:hRule="exact" w:val="276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115"/>
              <w:rPr>
                <w:sz w:val="20"/>
              </w:rPr>
            </w:pPr>
            <w:r>
              <w:rPr>
                <w:sz w:val="20"/>
              </w:rPr>
              <w:t>10 %, pokud je zkrácení vyšší nebo rovno 30 % délky minimální lhůty (ale nedosahuje 50 %)</w:t>
            </w:r>
          </w:p>
          <w:p w:rsidR="000E3C79" w:rsidRDefault="00A01542">
            <w:pPr>
              <w:pStyle w:val="TableParagraph"/>
              <w:spacing w:before="0" w:line="233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3C79" w:rsidRDefault="00A01542">
            <w:pPr>
              <w:pStyle w:val="TableParagraph"/>
              <w:spacing w:before="6" w:line="247" w:lineRule="auto"/>
              <w:ind w:right="309"/>
              <w:rPr>
                <w:sz w:val="20"/>
              </w:rPr>
            </w:pPr>
            <w:r>
              <w:rPr>
                <w:sz w:val="20"/>
              </w:rPr>
              <w:t>nebyla prodloužena lhůta pro podání nabídek, předběžných nabídek ne</w:t>
            </w:r>
            <w:r>
              <w:rPr>
                <w:sz w:val="20"/>
              </w:rPr>
              <w:t>bo žádostí o účast v případě takové změny zadávacích podmínek, jejichž povaha to vyžadovala</w:t>
            </w:r>
          </w:p>
        </w:tc>
      </w:tr>
      <w:tr w:rsidR="000E3C79">
        <w:trPr>
          <w:trHeight w:hRule="exact" w:val="84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142"/>
              <w:rPr>
                <w:sz w:val="20"/>
              </w:rPr>
            </w:pPr>
            <w:r>
              <w:rPr>
                <w:sz w:val="20"/>
              </w:rPr>
              <w:t>5 %, pokud je zkrácení nižší než 30 %</w:t>
            </w:r>
          </w:p>
        </w:tc>
      </w:tr>
    </w:tbl>
    <w:p w:rsidR="000E3C79" w:rsidRDefault="000E3C79">
      <w:pPr>
        <w:spacing w:line="247" w:lineRule="auto"/>
        <w:rPr>
          <w:sz w:val="20"/>
        </w:rPr>
        <w:sectPr w:rsidR="000E3C79">
          <w:pgSz w:w="11900" w:h="16840"/>
          <w:pgMar w:top="1960" w:right="860" w:bottom="1940" w:left="1000" w:header="817" w:footer="1740" w:gutter="0"/>
          <w:cols w:space="708"/>
        </w:sectPr>
      </w:pPr>
    </w:p>
    <w:p w:rsidR="000E3C79" w:rsidRDefault="000E3C79">
      <w:pPr>
        <w:pStyle w:val="Zkladntext"/>
        <w:rPr>
          <w:rFonts w:ascii="Times New Roman"/>
        </w:rPr>
      </w:pPr>
    </w:p>
    <w:p w:rsidR="000E3C79" w:rsidRDefault="000E3C79">
      <w:pPr>
        <w:pStyle w:val="Zkladntext"/>
        <w:spacing w:before="9"/>
        <w:rPr>
          <w:rFonts w:ascii="Times New Roman"/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639"/>
        <w:gridCol w:w="3003"/>
        <w:gridCol w:w="3003"/>
      </w:tblGrid>
      <w:tr w:rsidR="000E3C79">
        <w:trPr>
          <w:trHeight w:hRule="exact" w:val="1320"/>
        </w:trPr>
        <w:tc>
          <w:tcPr>
            <w:tcW w:w="455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39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475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  <w:p w:rsidR="000E3C79" w:rsidRDefault="00A01542">
            <w:pPr>
              <w:pStyle w:val="TableParagraph"/>
              <w:spacing w:before="0" w:line="233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3C79" w:rsidRDefault="00A01542">
            <w:pPr>
              <w:pStyle w:val="TableParagraph"/>
              <w:spacing w:before="6" w:line="247" w:lineRule="auto"/>
              <w:ind w:right="448"/>
              <w:rPr>
                <w:sz w:val="20"/>
              </w:rPr>
            </w:pPr>
            <w:r>
              <w:rPr>
                <w:sz w:val="20"/>
              </w:rPr>
              <w:t>jiná omezení pro získání zadávací dokumentace</w:t>
            </w:r>
          </w:p>
        </w:tc>
        <w:tc>
          <w:tcPr>
            <w:tcW w:w="3003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163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 přičemž doba, ve které si ji mohou potenciální dodavatelé opatřit, je příliš krátká, či zadavatel jinak vytváří neodůvodněnou překážku pro řádno</w:t>
            </w:r>
            <w:r>
              <w:rPr>
                <w:sz w:val="20"/>
              </w:rPr>
              <w:t>u hospodářskou soutěž.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87"/>
              <w:rPr>
                <w:sz w:val="20"/>
              </w:rPr>
            </w:pPr>
            <w:r>
              <w:rPr>
                <w:sz w:val="20"/>
              </w:rPr>
              <w:t>10 %, pokud po zkrácení činí délka lhůty pro doručení nabídek méně než nebo je rovna 50 % stanovené lhůty pro doručení nabídek</w:t>
            </w:r>
          </w:p>
        </w:tc>
      </w:tr>
      <w:tr w:rsidR="000E3C79">
        <w:trPr>
          <w:trHeight w:hRule="exact" w:val="132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8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 méně než nebo je rovna 80 % stanovené lhůty pro doručení nabídek</w:t>
            </w:r>
          </w:p>
        </w:tc>
      </w:tr>
      <w:tr w:rsidR="000E3C79">
        <w:trPr>
          <w:trHeight w:hRule="exact" w:val="204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106"/>
              <w:rPr>
                <w:sz w:val="20"/>
              </w:rPr>
            </w:pPr>
            <w:r>
              <w:rPr>
                <w:sz w:val="20"/>
              </w:rPr>
              <w:t>25 %, pokud je doba pro získání zadávací dokumentace rovna nebo nižší 5 dnům</w:t>
            </w:r>
          </w:p>
          <w:p w:rsidR="000E3C79" w:rsidRDefault="00A01542">
            <w:pPr>
              <w:pStyle w:val="TableParagraph"/>
              <w:spacing w:before="0" w:line="247" w:lineRule="auto"/>
              <w:ind w:right="52"/>
              <w:rPr>
                <w:sz w:val="20"/>
              </w:rPr>
            </w:pPr>
            <w:r>
              <w:rPr>
                <w:sz w:val="20"/>
              </w:rPr>
              <w:t>nebo zadavatel vůbec neumožnil bezplatný, neomezený a přímý přístup k zadávací dokumentaci elektronickým způsobem</w:t>
            </w:r>
          </w:p>
        </w:tc>
      </w:tr>
      <w:tr w:rsidR="000E3C79">
        <w:trPr>
          <w:trHeight w:hRule="exact" w:val="600"/>
        </w:trPr>
        <w:tc>
          <w:tcPr>
            <w:tcW w:w="455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39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164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 nabídek nebo žádostí o účast</w:t>
            </w:r>
          </w:p>
          <w:p w:rsidR="000E3C79" w:rsidRDefault="00A01542">
            <w:pPr>
              <w:pStyle w:val="TableParagraph"/>
              <w:spacing w:before="0" w:line="233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3C79" w:rsidRDefault="00A01542">
            <w:pPr>
              <w:pStyle w:val="TableParagraph"/>
              <w:spacing w:before="6" w:line="247" w:lineRule="auto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 nedodržení stanovené lhůty pro poskytnutí vysvětlení</w:t>
            </w:r>
          </w:p>
        </w:tc>
        <w:tc>
          <w:tcPr>
            <w:tcW w:w="3003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78"/>
              <w:rPr>
                <w:sz w:val="20"/>
              </w:rPr>
            </w:pPr>
            <w:r>
              <w:rPr>
                <w:sz w:val="20"/>
              </w:rPr>
              <w:t>Zadavatel v průběhu výběrového/zadávacího řízení prodloužil lhůtu pro podání nabídek, předběžných nabídek nebo žádostí o účast, aniž by tuto skutečnost uveřejnil způsobem sta</w:t>
            </w:r>
            <w:r>
              <w:rPr>
                <w:sz w:val="20"/>
              </w:rPr>
              <w:t>noveným v zákoně nebo v Pokynech OPŽP, příp.</w:t>
            </w:r>
          </w:p>
          <w:p w:rsidR="000E3C79" w:rsidRDefault="00A01542">
            <w:pPr>
              <w:pStyle w:val="TableParagraph"/>
              <w:spacing w:before="0" w:line="233" w:lineRule="exact"/>
              <w:rPr>
                <w:sz w:val="20"/>
              </w:rPr>
            </w:pPr>
            <w:r>
              <w:rPr>
                <w:sz w:val="20"/>
              </w:rPr>
              <w:t>v dokumentu Zadávání VZ</w:t>
            </w:r>
          </w:p>
          <w:p w:rsidR="000E3C79" w:rsidRDefault="00A01542">
            <w:pPr>
              <w:pStyle w:val="TableParagraph"/>
              <w:spacing w:before="6" w:line="247" w:lineRule="auto"/>
              <w:ind w:right="115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řízení, nebo ačkoliv žádost o vysvětlení byla doručena včas, zadavatel toto vysvětlení neuveřejnil, neodeslal nebo nepředal v</w:t>
            </w:r>
            <w:r>
              <w:rPr>
                <w:sz w:val="20"/>
              </w:rPr>
              <w:t>e stanovené lhůtě a současně neprodloužil lhůtu pro podání nabídek.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272"/>
              <w:rPr>
                <w:sz w:val="20"/>
              </w:rPr>
            </w:pPr>
            <w:r>
              <w:rPr>
                <w:sz w:val="20"/>
              </w:rPr>
              <w:t>5 %, pokud došlo k uveřejnění jiným vhodným způsobem</w:t>
            </w:r>
          </w:p>
        </w:tc>
      </w:tr>
      <w:tr w:rsidR="000E3C79">
        <w:trPr>
          <w:trHeight w:hRule="exact" w:val="384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1061"/>
              <w:rPr>
                <w:sz w:val="20"/>
              </w:rPr>
            </w:pPr>
            <w:r>
              <w:rPr>
                <w:sz w:val="20"/>
              </w:rPr>
              <w:t>10 %, pokud nedošlo k uveřejnění,</w:t>
            </w:r>
          </w:p>
          <w:p w:rsidR="000E3C79" w:rsidRDefault="00A01542">
            <w:pPr>
              <w:pStyle w:val="TableParagraph"/>
              <w:spacing w:before="0" w:line="233" w:lineRule="exact"/>
              <w:rPr>
                <w:sz w:val="20"/>
              </w:rPr>
            </w:pPr>
            <w:r>
              <w:rPr>
                <w:sz w:val="20"/>
              </w:rPr>
              <w:t>nebo pokud nedošlo</w:t>
            </w:r>
          </w:p>
          <w:p w:rsidR="000E3C79" w:rsidRDefault="00A01542">
            <w:pPr>
              <w:pStyle w:val="TableParagraph"/>
              <w:spacing w:before="6" w:line="247" w:lineRule="auto"/>
              <w:ind w:right="180"/>
              <w:rPr>
                <w:sz w:val="20"/>
              </w:rPr>
            </w:pPr>
            <w:r>
              <w:rPr>
                <w:sz w:val="20"/>
              </w:rPr>
              <w:t>k prodloužení lhůty pro podání nabídek v důsledku nedodržení lhůty pro poskytnutí vysvětlení zadávací dokumentace</w:t>
            </w:r>
          </w:p>
        </w:tc>
      </w:tr>
    </w:tbl>
    <w:p w:rsidR="000E3C79" w:rsidRDefault="000E3C79">
      <w:pPr>
        <w:spacing w:line="247" w:lineRule="auto"/>
        <w:rPr>
          <w:sz w:val="20"/>
        </w:rPr>
        <w:sectPr w:rsidR="000E3C79">
          <w:pgSz w:w="11900" w:h="16840"/>
          <w:pgMar w:top="1960" w:right="860" w:bottom="1940" w:left="1000" w:header="817" w:footer="1740" w:gutter="0"/>
          <w:cols w:space="708"/>
        </w:sectPr>
      </w:pPr>
    </w:p>
    <w:p w:rsidR="000E3C79" w:rsidRDefault="000E3C79">
      <w:pPr>
        <w:pStyle w:val="Zkladntext"/>
        <w:rPr>
          <w:rFonts w:ascii="Times New Roman"/>
        </w:rPr>
      </w:pPr>
    </w:p>
    <w:p w:rsidR="000E3C79" w:rsidRDefault="000E3C79">
      <w:pPr>
        <w:pStyle w:val="Zkladntext"/>
        <w:spacing w:before="9"/>
        <w:rPr>
          <w:rFonts w:ascii="Times New Roman"/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639"/>
        <w:gridCol w:w="3003"/>
        <w:gridCol w:w="3003"/>
      </w:tblGrid>
      <w:tr w:rsidR="000E3C79">
        <w:trPr>
          <w:trHeight w:hRule="exact" w:val="360"/>
        </w:trPr>
        <w:tc>
          <w:tcPr>
            <w:tcW w:w="455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39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517"/>
              <w:rPr>
                <w:sz w:val="20"/>
              </w:rPr>
            </w:pPr>
            <w:r>
              <w:rPr>
                <w:sz w:val="20"/>
              </w:rPr>
              <w:t>Použití jednacího řízení s uveřejněním nebo soutěžního dialogu</w:t>
            </w:r>
          </w:p>
          <w:p w:rsidR="000E3C79" w:rsidRDefault="00A01542">
            <w:pPr>
              <w:pStyle w:val="TableParagraph"/>
              <w:spacing w:before="0" w:line="233" w:lineRule="exact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003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694"/>
              <w:rPr>
                <w:sz w:val="20"/>
              </w:rPr>
            </w:pPr>
            <w:r>
              <w:rPr>
                <w:sz w:val="20"/>
              </w:rPr>
              <w:t>Zadavatel zadal veřejnou zakázku v jednacím řízení</w:t>
            </w:r>
          </w:p>
          <w:p w:rsidR="000E3C79" w:rsidRDefault="00A01542">
            <w:pPr>
              <w:pStyle w:val="TableParagraph"/>
              <w:spacing w:before="0" w:line="247" w:lineRule="auto"/>
              <w:ind w:right="94"/>
              <w:rPr>
                <w:sz w:val="20"/>
              </w:rPr>
            </w:pPr>
            <w:r>
              <w:rPr>
                <w:sz w:val="20"/>
              </w:rPr>
              <w:t>s uveřejněním nebo v soutěžním dialogu, aniž by byly splněny zákonné podmínky pro takový postup, nebo v průběhu jednacího řízení s uveřejněním nebo v soutěžním dialogu podstatně změnil zadávací podmínky.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5 %</w:t>
            </w:r>
          </w:p>
        </w:tc>
      </w:tr>
      <w:tr w:rsidR="000E3C79">
        <w:trPr>
          <w:trHeight w:hRule="exact" w:val="300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77"/>
              <w:rPr>
                <w:sz w:val="20"/>
              </w:rPr>
            </w:pPr>
            <w:r>
              <w:rPr>
                <w:sz w:val="20"/>
              </w:rPr>
              <w:t xml:space="preserve">10 %, pokud byla zajištěna transparentnost zadávacího řízení vč. zdůvodnění užití tohoto druhu řízení v zadávací dokumentaci, nebyl omezen počet potenciálních dodavatelů, kteří mohli podat nabídku nebo žádost o účast, a současně byl zajištěn rovný přístup </w:t>
            </w:r>
            <w:r>
              <w:rPr>
                <w:sz w:val="20"/>
              </w:rPr>
              <w:t>ke všem účastníkům, kteří podali nabídku či žádost o účast</w:t>
            </w:r>
          </w:p>
        </w:tc>
      </w:tr>
      <w:tr w:rsidR="000E3C79">
        <w:trPr>
          <w:trHeight w:hRule="exact" w:val="1320"/>
        </w:trPr>
        <w:tc>
          <w:tcPr>
            <w:tcW w:w="455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39" w:type="dxa"/>
            <w:vMerge w:val="restart"/>
          </w:tcPr>
          <w:p w:rsidR="000E3C79" w:rsidRDefault="00A01542">
            <w:pPr>
              <w:pStyle w:val="TableParagraph"/>
              <w:spacing w:before="43" w:line="240" w:lineRule="exact"/>
              <w:ind w:right="322"/>
              <w:rPr>
                <w:sz w:val="16"/>
              </w:rPr>
            </w:pPr>
            <w:r>
              <w:rPr>
                <w:sz w:val="20"/>
              </w:rPr>
              <w:t>Nesoulad se stanovenými postupy pro elektronické nebo souhrnné zadávání veřejných zakázek</w:t>
            </w:r>
            <w:r>
              <w:rPr>
                <w:position w:val="7"/>
                <w:sz w:val="16"/>
              </w:rPr>
              <w:t>1</w:t>
            </w:r>
          </w:p>
        </w:tc>
        <w:tc>
          <w:tcPr>
            <w:tcW w:w="3003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127"/>
              <w:rPr>
                <w:sz w:val="20"/>
              </w:rPr>
            </w:pPr>
            <w:r>
              <w:rPr>
                <w:sz w:val="20"/>
              </w:rPr>
              <w:t xml:space="preserve">Nedodržení stanovených postupů pro elektronické nebo souhrnné zadávání veřejných zakázek (tj. rámcové </w:t>
            </w:r>
            <w:r>
              <w:rPr>
                <w:sz w:val="20"/>
              </w:rPr>
              <w:t>dohody, dynamické nákupní systémy, elektronické aukce, elektronické katalogy, centralizované zadávání, společné zadávání</w:t>
            </w:r>
          </w:p>
          <w:p w:rsidR="000E3C79" w:rsidRDefault="00A01542">
            <w:pPr>
              <w:pStyle w:val="TableParagraph"/>
              <w:spacing w:before="0" w:line="247" w:lineRule="auto"/>
              <w:ind w:right="1033"/>
              <w:rPr>
                <w:sz w:val="20"/>
              </w:rPr>
            </w:pPr>
            <w:r>
              <w:rPr>
                <w:sz w:val="20"/>
              </w:rPr>
              <w:t>a postupy centrálních zadavatelů).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150"/>
              <w:rPr>
                <w:sz w:val="20"/>
              </w:rPr>
            </w:pPr>
            <w:r>
              <w:rPr>
                <w:sz w:val="20"/>
              </w:rPr>
              <w:t>25 %, pokud následkem tohoto porušení bylo přidělení veřejné zakázky jinému účastníkovi, než který b</w:t>
            </w:r>
            <w:r>
              <w:rPr>
                <w:sz w:val="20"/>
              </w:rPr>
              <w:t>y zvítězil, pokud by se zadavatel pochybení nedopustil</w:t>
            </w:r>
          </w:p>
        </w:tc>
      </w:tr>
      <w:tr w:rsidR="000E3C79">
        <w:trPr>
          <w:trHeight w:hRule="exact" w:val="120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0E3C79"/>
        </w:tc>
      </w:tr>
      <w:tr w:rsidR="000E3C79">
        <w:trPr>
          <w:trHeight w:hRule="exact" w:val="840"/>
        </w:trPr>
        <w:tc>
          <w:tcPr>
            <w:tcW w:w="455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39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404"/>
              <w:rPr>
                <w:sz w:val="20"/>
              </w:rPr>
            </w:pPr>
            <w:r>
              <w:rPr>
                <w:sz w:val="20"/>
              </w:rPr>
              <w:t>Neuvedení nebo nedostatečné vymezení požadavků na kvalifikaci nebo hodnotících kritérií a jejich vah, podmínek</w:t>
            </w:r>
          </w:p>
          <w:p w:rsidR="000E3C79" w:rsidRDefault="00A01542">
            <w:pPr>
              <w:pStyle w:val="TableParagraph"/>
              <w:spacing w:before="0" w:line="247" w:lineRule="auto"/>
              <w:ind w:right="90"/>
              <w:rPr>
                <w:sz w:val="20"/>
              </w:rPr>
            </w:pPr>
            <w:r>
              <w:rPr>
                <w:sz w:val="20"/>
              </w:rPr>
              <w:t>plnění veřejné zakázky nebo technické specifikace</w:t>
            </w:r>
          </w:p>
          <w:p w:rsidR="000E3C79" w:rsidRDefault="00A01542">
            <w:pPr>
              <w:pStyle w:val="TableParagraph"/>
              <w:spacing w:before="0" w:line="233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E3C79" w:rsidRDefault="00A01542">
            <w:pPr>
              <w:pStyle w:val="TableParagraph"/>
              <w:spacing w:before="6" w:line="247" w:lineRule="auto"/>
              <w:ind w:right="46"/>
              <w:rPr>
                <w:sz w:val="20"/>
              </w:rPr>
            </w:pPr>
            <w:r>
              <w:rPr>
                <w:sz w:val="20"/>
              </w:rPr>
              <w:t>neuveřejnění či neposkytnutí vysvětlení objasňující či doplňující kvalifikační nebo hodnotící kritéria</w:t>
            </w:r>
          </w:p>
        </w:tc>
        <w:tc>
          <w:tcPr>
            <w:tcW w:w="3003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57"/>
              <w:rPr>
                <w:sz w:val="20"/>
              </w:rPr>
            </w:pPr>
            <w:r>
              <w:rPr>
                <w:sz w:val="20"/>
              </w:rPr>
              <w:t>Zadavatel neuvedl v oznámení o zahájení výběrového/zadávacího řízení požadavky na kvalifikaci, hodnotící kritéria (vč. jejich vah a jasného způsobu hodno</w:t>
            </w:r>
            <w:r>
              <w:rPr>
                <w:sz w:val="20"/>
              </w:rPr>
              <w:t>cení nabídek), podmínky plnění veřejné zakázky nebo technické specifikace, případně tyto požadavky nevymezil dostatečně určitě</w:t>
            </w:r>
          </w:p>
          <w:p w:rsidR="000E3C79" w:rsidRDefault="00A01542">
            <w:pPr>
              <w:pStyle w:val="TableParagraph"/>
              <w:spacing w:before="0" w:line="247" w:lineRule="auto"/>
              <w:ind w:right="342"/>
              <w:rPr>
                <w:sz w:val="20"/>
              </w:rPr>
            </w:pPr>
            <w:r>
              <w:rPr>
                <w:sz w:val="20"/>
              </w:rPr>
              <w:t>nebo objasnění či doplnění kvalifikačních či hodnotících kritérií nebylo sděleno všem účastníkům, popř. tyto informace nebyly uve</w:t>
            </w:r>
            <w:r>
              <w:rPr>
                <w:sz w:val="20"/>
              </w:rPr>
              <w:t>řejněny.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25 %, pokud nedošlo</w:t>
            </w:r>
          </w:p>
          <w:p w:rsidR="000E3C79" w:rsidRDefault="00A01542">
            <w:pPr>
              <w:pStyle w:val="TableParagraph"/>
              <w:spacing w:before="6" w:line="247" w:lineRule="auto"/>
              <w:ind w:right="137"/>
              <w:rPr>
                <w:sz w:val="20"/>
              </w:rPr>
            </w:pPr>
            <w:r>
              <w:rPr>
                <w:sz w:val="20"/>
              </w:rPr>
              <w:t>k uveřejnění kvalifikačních nebo hodnotících kritérií a jejich vah</w:t>
            </w:r>
          </w:p>
        </w:tc>
      </w:tr>
      <w:tr w:rsidR="000E3C79">
        <w:trPr>
          <w:trHeight w:hRule="exact" w:val="372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200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 v zadávací dokumentaci uvedeny, nebo</w:t>
            </w:r>
          </w:p>
          <w:p w:rsidR="000E3C79" w:rsidRDefault="00A01542">
            <w:pPr>
              <w:pStyle w:val="TableParagraph"/>
              <w:spacing w:before="0" w:line="247" w:lineRule="auto"/>
              <w:ind w:right="159"/>
              <w:rPr>
                <w:sz w:val="20"/>
              </w:rPr>
            </w:pPr>
            <w:r>
              <w:rPr>
                <w:sz w:val="20"/>
              </w:rPr>
              <w:t>hodnotící kritéria a jejich váhy nejsou uvedeny dostatečně určitě, což mohlo mít odrazující účinek na potenciální dodavatele, nebo vysvětlení objasňující či doplňující kvalifikační nebo hodnotící kritéria nebyla sdělena všem známým dodavatelům a/nebo nebyl</w:t>
            </w:r>
            <w:r>
              <w:rPr>
                <w:sz w:val="20"/>
              </w:rPr>
              <w:t>a uveřejněna</w:t>
            </w:r>
          </w:p>
        </w:tc>
      </w:tr>
    </w:tbl>
    <w:p w:rsidR="000E3C79" w:rsidRDefault="000E3C79">
      <w:pPr>
        <w:spacing w:line="247" w:lineRule="auto"/>
        <w:rPr>
          <w:sz w:val="20"/>
        </w:rPr>
        <w:sectPr w:rsidR="000E3C79">
          <w:pgSz w:w="11900" w:h="16840"/>
          <w:pgMar w:top="1960" w:right="860" w:bottom="1940" w:left="1000" w:header="817" w:footer="1740" w:gutter="0"/>
          <w:cols w:space="708"/>
        </w:sectPr>
      </w:pPr>
    </w:p>
    <w:p w:rsidR="000E3C79" w:rsidRDefault="000E3C79">
      <w:pPr>
        <w:pStyle w:val="Zkladntext"/>
        <w:rPr>
          <w:rFonts w:ascii="Times New Roman"/>
        </w:rPr>
      </w:pPr>
    </w:p>
    <w:p w:rsidR="000E3C79" w:rsidRDefault="000E3C79">
      <w:pPr>
        <w:pStyle w:val="Zkladntext"/>
        <w:spacing w:before="9"/>
        <w:rPr>
          <w:rFonts w:ascii="Times New Roman"/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639"/>
        <w:gridCol w:w="3003"/>
        <w:gridCol w:w="3003"/>
      </w:tblGrid>
      <w:tr w:rsidR="000E3C79">
        <w:trPr>
          <w:trHeight w:hRule="exact" w:val="1080"/>
        </w:trPr>
        <w:tc>
          <w:tcPr>
            <w:tcW w:w="455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39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262"/>
              <w:rPr>
                <w:sz w:val="20"/>
              </w:rPr>
            </w:pPr>
            <w:r>
              <w:rPr>
                <w:sz w:val="20"/>
              </w:rPr>
              <w:t>Stanovení diskriminačních kritérií pro vyloučení, požadavků na kvalifikaci dodavatelů, kritérií hodnocení nabídek, podmínek pro plnění veřejné zakázky nebo technických specifikací</w:t>
            </w:r>
          </w:p>
          <w:p w:rsidR="000E3C79" w:rsidRDefault="00A01542">
            <w:pPr>
              <w:pStyle w:val="TableParagraph"/>
              <w:spacing w:before="0" w:line="247" w:lineRule="auto"/>
              <w:ind w:right="135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a to ve vztahu</w:t>
            </w:r>
          </w:p>
          <w:p w:rsidR="000E3C79" w:rsidRDefault="00A01542">
            <w:pPr>
              <w:pStyle w:val="TableParagraph"/>
              <w:spacing w:before="0" w:line="247" w:lineRule="auto"/>
              <w:ind w:right="139"/>
              <w:rPr>
                <w:sz w:val="20"/>
              </w:rPr>
            </w:pPr>
            <w:r>
              <w:rPr>
                <w:sz w:val="20"/>
              </w:rPr>
              <w:t>k národním, regionálním nebo lokálním preferencím.</w:t>
            </w:r>
          </w:p>
        </w:tc>
        <w:tc>
          <w:tcPr>
            <w:tcW w:w="3003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49"/>
              <w:rPr>
                <w:sz w:val="20"/>
              </w:rPr>
            </w:pPr>
            <w:r>
              <w:rPr>
                <w:sz w:val="20"/>
              </w:rPr>
              <w:t>Zadavatel stanovil diskriminační nebo jiné protiprávní kritéria pro vyloučení, požadavky na kvalifikaci dodavatelů, kritérií hodnocení nabídek, podmínek pro plnění veřejné zakázky nebo technických specifikací nutných pro účast ve výběrovém/zadávacím řízení</w:t>
            </w:r>
            <w:r>
              <w:rPr>
                <w:sz w:val="20"/>
              </w:rPr>
              <w:t xml:space="preserve"> ve vztahu k místu realizace (např.</w:t>
            </w:r>
          </w:p>
          <w:p w:rsidR="000E3C79" w:rsidRDefault="00A01542">
            <w:pPr>
              <w:pStyle w:val="TableParagraph"/>
              <w:spacing w:before="0" w:line="247" w:lineRule="auto"/>
              <w:ind w:right="67"/>
              <w:rPr>
                <w:sz w:val="20"/>
              </w:rPr>
            </w:pPr>
            <w:r>
              <w:rPr>
                <w:sz w:val="20"/>
              </w:rPr>
              <w:t>v případě požadavku na zkušenosti, zařízení, provozovnu atd. z určitého regionu či státu).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770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 k odrazení potenciálních dodavatelů od účasti ve</w:t>
            </w:r>
          </w:p>
          <w:p w:rsidR="000E3C79" w:rsidRDefault="00A01542">
            <w:pPr>
              <w:pStyle w:val="TableParagraph"/>
              <w:spacing w:before="0" w:line="233" w:lineRule="exact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</w:tc>
      </w:tr>
      <w:tr w:rsidR="000E3C79">
        <w:trPr>
          <w:trHeight w:hRule="exact" w:val="240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424"/>
              <w:rPr>
                <w:sz w:val="20"/>
              </w:rPr>
            </w:pPr>
            <w:r>
              <w:rPr>
                <w:sz w:val="20"/>
              </w:rPr>
              <w:t>10 %, pokud byla zajištěna minimální míra hospodářské soutěže</w:t>
            </w:r>
          </w:p>
        </w:tc>
      </w:tr>
      <w:tr w:rsidR="000E3C79">
        <w:trPr>
          <w:trHeight w:hRule="exact" w:val="2520"/>
        </w:trPr>
        <w:tc>
          <w:tcPr>
            <w:tcW w:w="455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39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135"/>
              <w:rPr>
                <w:sz w:val="20"/>
              </w:rPr>
            </w:pPr>
            <w:r>
              <w:rPr>
                <w:sz w:val="20"/>
              </w:rPr>
              <w:t>Stanovení diskriminačních kritérií pro vyloučení, požadavků na kvalifikaci dodavatelů, kritérií hodnocení nabídek, podmínek pro plnění veřejné zakázky nebo technických specifikací v rozporu</w:t>
            </w:r>
            <w:r>
              <w:rPr>
                <w:sz w:val="20"/>
              </w:rPr>
              <w:t xml:space="preserve"> se zákonem nebo s Pokyny OPŽP, příp. s dokumentem Zadávání VZ v OPŽP v ostatních aspektech než je uvedeno</w:t>
            </w:r>
          </w:p>
          <w:p w:rsidR="000E3C79" w:rsidRDefault="00A01542">
            <w:pPr>
              <w:pStyle w:val="TableParagraph"/>
              <w:spacing w:before="0" w:line="233" w:lineRule="exact"/>
              <w:rPr>
                <w:sz w:val="20"/>
              </w:rPr>
            </w:pPr>
            <w:r>
              <w:rPr>
                <w:sz w:val="20"/>
              </w:rPr>
              <w:t>v předchozím bodu</w:t>
            </w:r>
          </w:p>
        </w:tc>
        <w:tc>
          <w:tcPr>
            <w:tcW w:w="3003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67"/>
              <w:rPr>
                <w:sz w:val="20"/>
              </w:rPr>
            </w:pPr>
            <w:r>
              <w:rPr>
                <w:sz w:val="20"/>
              </w:rPr>
              <w:t>Zadavatel stanovil diskriminační nebo jiné protiprávní kritéria pro vyloučení, požadavky na kvalifikaci dodavatelů, kritérií hodnoc</w:t>
            </w:r>
            <w:r>
              <w:rPr>
                <w:sz w:val="20"/>
              </w:rPr>
              <w:t>ení nabídek, podmínek pro plnění veřejné zakázky nebo technických specifikací nutných pro účast ve výběrovém/zadávacím řízení (např. požadavky bezprostředně nesouvisely s předmětem veřejné zakázky, nebo hodnotící kritéria nevyjadřovaly vztah užitné hodnoty</w:t>
            </w:r>
            <w:r>
              <w:rPr>
                <w:sz w:val="20"/>
              </w:rPr>
              <w:t xml:space="preserve"> a ceny).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114"/>
              <w:rPr>
                <w:sz w:val="20"/>
              </w:rPr>
            </w:pPr>
            <w:r>
              <w:rPr>
                <w:sz w:val="20"/>
              </w:rPr>
              <w:t>25 %, pokud stanovené podmínky zjevně neodpovídají předmětu veřejné zakázky nebo v případech, kdy toto omezení umožnilo účast pouze jednoho dodavatele a současně účast tohoto jednoho dodavatele není odůvodnitelná specifickým technickým charaktere</w:t>
            </w:r>
            <w:r>
              <w:rPr>
                <w:sz w:val="20"/>
              </w:rPr>
              <w:t>m předmětu veřejné zakázky</w:t>
            </w:r>
          </w:p>
        </w:tc>
      </w:tr>
      <w:tr w:rsidR="000E3C79">
        <w:trPr>
          <w:trHeight w:hRule="exact" w:val="468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46"/>
              <w:rPr>
                <w:sz w:val="20"/>
              </w:rPr>
            </w:pPr>
            <w:r>
              <w:rPr>
                <w:sz w:val="20"/>
              </w:rPr>
              <w:t>10 %, pokud tyto požadavky souvisí s předmětem veřejné zakázky, ale nejsou mu přiměřené, nebo v případech, kdy kvalifikační kritéria byla užita jako hodnotící kritéria, nebo</w:t>
            </w:r>
          </w:p>
          <w:p w:rsidR="000E3C79" w:rsidRDefault="00A01542">
            <w:pPr>
              <w:pStyle w:val="TableParagraph"/>
              <w:spacing w:before="0" w:line="247" w:lineRule="auto"/>
              <w:ind w:right="128"/>
              <w:rPr>
                <w:sz w:val="20"/>
              </w:rPr>
            </w:pPr>
            <w:r>
              <w:rPr>
                <w:sz w:val="20"/>
              </w:rPr>
              <w:t>v případech stanovení technických podmínek prostřednictvím přímého nebo nepřímého odkazu na určité dodavatele, výrobky, patenty na vynálezy, užitné vzory, průmyslové vzory, ochranné známky nebo označení původu s výjimkou případů, kdy použití této specifika</w:t>
            </w:r>
            <w:r>
              <w:rPr>
                <w:sz w:val="20"/>
              </w:rPr>
              <w:t>ce se týká pouze doplňkové části veřejné zakázky a potenciální dopad na národní prostředky je pouze formální</w:t>
            </w:r>
          </w:p>
        </w:tc>
      </w:tr>
      <w:tr w:rsidR="000E3C79">
        <w:trPr>
          <w:trHeight w:hRule="exact" w:val="132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532"/>
              <w:rPr>
                <w:sz w:val="20"/>
              </w:rPr>
            </w:pPr>
            <w:r>
              <w:rPr>
                <w:sz w:val="20"/>
              </w:rPr>
              <w:t>5 %, pokud i přes užití omezujících podmínek byla zajištěna minimální míra hospodářské soutěže</w:t>
            </w:r>
          </w:p>
        </w:tc>
      </w:tr>
    </w:tbl>
    <w:p w:rsidR="000E3C79" w:rsidRDefault="000E3C79">
      <w:pPr>
        <w:spacing w:line="247" w:lineRule="auto"/>
        <w:rPr>
          <w:sz w:val="20"/>
        </w:rPr>
        <w:sectPr w:rsidR="000E3C79">
          <w:pgSz w:w="11900" w:h="16840"/>
          <w:pgMar w:top="1960" w:right="860" w:bottom="1940" w:left="1000" w:header="817" w:footer="1740" w:gutter="0"/>
          <w:cols w:space="708"/>
        </w:sectPr>
      </w:pPr>
    </w:p>
    <w:p w:rsidR="000E3C79" w:rsidRDefault="000E3C79">
      <w:pPr>
        <w:pStyle w:val="Zkladntext"/>
        <w:rPr>
          <w:rFonts w:ascii="Times New Roman"/>
        </w:rPr>
      </w:pPr>
    </w:p>
    <w:p w:rsidR="000E3C79" w:rsidRDefault="000E3C79">
      <w:pPr>
        <w:pStyle w:val="Zkladntext"/>
        <w:spacing w:before="9"/>
        <w:rPr>
          <w:rFonts w:ascii="Times New Roman"/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639"/>
        <w:gridCol w:w="3003"/>
        <w:gridCol w:w="3003"/>
      </w:tblGrid>
      <w:tr w:rsidR="000E3C79">
        <w:trPr>
          <w:trHeight w:hRule="exact" w:val="2040"/>
        </w:trPr>
        <w:tc>
          <w:tcPr>
            <w:tcW w:w="455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39" w:type="dxa"/>
          </w:tcPr>
          <w:p w:rsidR="000E3C79" w:rsidRDefault="00A01542">
            <w:pPr>
              <w:pStyle w:val="TableParagraph"/>
              <w:spacing w:line="247" w:lineRule="auto"/>
              <w:ind w:right="127"/>
              <w:rPr>
                <w:sz w:val="20"/>
              </w:rPr>
            </w:pPr>
            <w:r>
              <w:rPr>
                <w:sz w:val="20"/>
              </w:rPr>
              <w:t>Nedostatečné či nepřesné vymezení předmětu veřejné zakázky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331"/>
              <w:rPr>
                <w:sz w:val="20"/>
              </w:rPr>
            </w:pPr>
            <w:r>
              <w:rPr>
                <w:sz w:val="20"/>
              </w:rPr>
              <w:t>Zadavatel nevymezil předmět veřejné zakázky</w:t>
            </w:r>
          </w:p>
          <w:p w:rsidR="000E3C79" w:rsidRDefault="00A01542">
            <w:pPr>
              <w:pStyle w:val="TableParagraph"/>
              <w:spacing w:before="0" w:line="247" w:lineRule="auto"/>
              <w:ind w:right="203"/>
              <w:rPr>
                <w:sz w:val="20"/>
              </w:rPr>
            </w:pPr>
            <w:r>
              <w:rPr>
                <w:sz w:val="20"/>
              </w:rPr>
              <w:t>v podrobnostech nezbytných pro zpracování nabídky, což mohlo odradit potenciální dodavatele od podání nabídky, předběžné nabídky či žádosti o účast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E3C79">
        <w:trPr>
          <w:trHeight w:hRule="exact" w:val="1800"/>
        </w:trPr>
        <w:tc>
          <w:tcPr>
            <w:tcW w:w="455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39" w:type="dxa"/>
          </w:tcPr>
          <w:p w:rsidR="000E3C79" w:rsidRDefault="00A01542">
            <w:pPr>
              <w:pStyle w:val="TableParagraph"/>
              <w:spacing w:line="247" w:lineRule="auto"/>
              <w:ind w:right="564"/>
              <w:rPr>
                <w:sz w:val="20"/>
              </w:rPr>
            </w:pPr>
            <w:r>
              <w:rPr>
                <w:sz w:val="20"/>
              </w:rPr>
              <w:t>Neoprávněné omezení poddodávek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84"/>
              <w:rPr>
                <w:sz w:val="20"/>
              </w:rPr>
            </w:pPr>
            <w:r>
              <w:rPr>
                <w:sz w:val="20"/>
              </w:rPr>
              <w:t>Zadavatel omezil možnost využití poddodavatelů při realizaci veřejné zakázky např. procentuálně, a to bez relevantního odůvodnění tohoto omezení s ohledem na klíčové části veřejné zakázky.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E3C79">
        <w:trPr>
          <w:trHeight w:hRule="exact" w:val="3960"/>
        </w:trPr>
        <w:tc>
          <w:tcPr>
            <w:tcW w:w="455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39" w:type="dxa"/>
          </w:tcPr>
          <w:p w:rsidR="000E3C79" w:rsidRDefault="00A01542">
            <w:pPr>
              <w:pStyle w:val="TableParagraph"/>
              <w:spacing w:line="247" w:lineRule="auto"/>
              <w:ind w:right="96"/>
              <w:rPr>
                <w:sz w:val="20"/>
              </w:rPr>
            </w:pPr>
            <w:r>
              <w:rPr>
                <w:sz w:val="20"/>
              </w:rPr>
              <w:t>Nedodržení či nesprávná aplikace kvalifikačních kritérií nebo technických či jiných zadávacích podmínek při posouzení a hodnocení nabídek či žádostí o účast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při posouzení</w:t>
            </w:r>
          </w:p>
          <w:p w:rsidR="000E3C79" w:rsidRDefault="00A01542">
            <w:pPr>
              <w:pStyle w:val="TableParagraph"/>
              <w:spacing w:before="6" w:line="247" w:lineRule="auto"/>
              <w:ind w:right="127"/>
              <w:rPr>
                <w:sz w:val="20"/>
              </w:rPr>
            </w:pPr>
            <w:r>
              <w:rPr>
                <w:sz w:val="20"/>
              </w:rPr>
              <w:t>a hodnocení nabídek nedodržel stanovené zadávací podmínky, zejména technick</w:t>
            </w:r>
            <w:r>
              <w:rPr>
                <w:sz w:val="20"/>
              </w:rPr>
              <w:t>é podmínky, požadavky na kvalifikaci, obchodní podmínky nebo jiné podmínky účasti ve výběrovém/zadávacím řízení nebo podmínky průběhu výběrového/zadávacího řízení a ve svém důsledku tak změnil zadávací podmínky v průběhu posouzení nabídek, což mělo za násl</w:t>
            </w:r>
            <w:r>
              <w:rPr>
                <w:sz w:val="20"/>
              </w:rPr>
              <w:t>edek přijetí či odmítnutí nabídek či žádostí o účast, které přijmuty/odmínuty být neměly.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3C79">
        <w:trPr>
          <w:trHeight w:hRule="exact" w:val="360"/>
        </w:trPr>
        <w:tc>
          <w:tcPr>
            <w:tcW w:w="455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39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 nabídek</w:t>
            </w:r>
          </w:p>
          <w:p w:rsidR="000E3C79" w:rsidRDefault="00A01542">
            <w:pPr>
              <w:pStyle w:val="TableParagraph"/>
              <w:spacing w:before="6" w:line="247" w:lineRule="auto"/>
              <w:ind w:right="439"/>
              <w:rPr>
                <w:sz w:val="20"/>
              </w:rPr>
            </w:pPr>
            <w:r>
              <w:rPr>
                <w:sz w:val="20"/>
              </w:rPr>
              <w:t>v rozporu se zadávacími podmínkami</w:t>
            </w:r>
          </w:p>
          <w:p w:rsidR="000E3C79" w:rsidRDefault="00A01542">
            <w:pPr>
              <w:pStyle w:val="TableParagraph"/>
              <w:spacing w:before="0" w:line="247" w:lineRule="auto"/>
              <w:ind w:right="57"/>
              <w:rPr>
                <w:sz w:val="20"/>
              </w:rPr>
            </w:pPr>
            <w:r>
              <w:rPr>
                <w:sz w:val="20"/>
              </w:rPr>
              <w:t>nebo hodnocení nabídek dle dodatečně stanovených kritérií, která nebyla uveřejněna</w:t>
            </w:r>
          </w:p>
        </w:tc>
        <w:tc>
          <w:tcPr>
            <w:tcW w:w="3003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97"/>
              <w:rPr>
                <w:sz w:val="20"/>
              </w:rPr>
            </w:pPr>
            <w:r>
              <w:rPr>
                <w:sz w:val="20"/>
              </w:rPr>
              <w:t>Kritéria, která zadavatel stanovil pro hodnocení nabídek, nebyla dodržena či bylo užito dalších hodnotících kritérií, které nebyly uveřejněny.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E3C79">
        <w:trPr>
          <w:trHeight w:hRule="exact" w:val="144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25 %, pokud došlo</w:t>
            </w:r>
          </w:p>
          <w:p w:rsidR="000E3C79" w:rsidRDefault="00A01542">
            <w:pPr>
              <w:pStyle w:val="TableParagraph"/>
              <w:spacing w:before="6" w:line="247" w:lineRule="auto"/>
              <w:ind w:right="117"/>
              <w:rPr>
                <w:sz w:val="20"/>
              </w:rPr>
            </w:pPr>
            <w:r>
              <w:rPr>
                <w:sz w:val="20"/>
              </w:rPr>
              <w:t>k diskriminaci účastníků na základě národních, regionálních či lokálních preferencí.</w:t>
            </w:r>
          </w:p>
        </w:tc>
      </w:tr>
    </w:tbl>
    <w:p w:rsidR="000E3C79" w:rsidRDefault="000E3C79">
      <w:pPr>
        <w:spacing w:line="247" w:lineRule="auto"/>
        <w:rPr>
          <w:sz w:val="20"/>
        </w:rPr>
        <w:sectPr w:rsidR="000E3C79">
          <w:pgSz w:w="11900" w:h="16840"/>
          <w:pgMar w:top="1960" w:right="860" w:bottom="1940" w:left="1000" w:header="817" w:footer="1740" w:gutter="0"/>
          <w:cols w:space="708"/>
        </w:sectPr>
      </w:pPr>
    </w:p>
    <w:p w:rsidR="000E3C79" w:rsidRDefault="000E3C79">
      <w:pPr>
        <w:pStyle w:val="Zkladntext"/>
        <w:rPr>
          <w:rFonts w:ascii="Times New Roman"/>
        </w:rPr>
      </w:pPr>
    </w:p>
    <w:p w:rsidR="000E3C79" w:rsidRDefault="000E3C79">
      <w:pPr>
        <w:pStyle w:val="Zkladntext"/>
        <w:spacing w:before="9"/>
        <w:rPr>
          <w:rFonts w:ascii="Times New Roman"/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639"/>
        <w:gridCol w:w="3003"/>
        <w:gridCol w:w="3003"/>
      </w:tblGrid>
      <w:tr w:rsidR="000E3C79">
        <w:trPr>
          <w:trHeight w:hRule="exact" w:val="1560"/>
        </w:trPr>
        <w:tc>
          <w:tcPr>
            <w:tcW w:w="455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39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144"/>
              <w:rPr>
                <w:sz w:val="20"/>
              </w:rPr>
            </w:pPr>
            <w:r>
              <w:rPr>
                <w:sz w:val="20"/>
              </w:rPr>
              <w:t>Nedostatečná auditní stopa související se zadáním veřejné zakázky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111"/>
              <w:rPr>
                <w:sz w:val="20"/>
              </w:rPr>
            </w:pPr>
            <w:r>
              <w:rPr>
                <w:sz w:val="20"/>
              </w:rPr>
              <w:t>Doložené podklady jasně nevysvětlují, jakým způsobem byly hodnoceny nabídky a jak byla vybrána nejvýhodnější nabídka, což má za následek nedostatečnou transparentnos</w:t>
            </w:r>
            <w:r>
              <w:rPr>
                <w:sz w:val="20"/>
              </w:rPr>
              <w:t>t.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3C79">
        <w:trPr>
          <w:trHeight w:hRule="exact" w:val="84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673"/>
              <w:rPr>
                <w:sz w:val="20"/>
              </w:rPr>
            </w:pPr>
            <w:r>
              <w:rPr>
                <w:sz w:val="20"/>
              </w:rPr>
              <w:t>Odmítnutí zpřístupnění či poskytnutí relevantní dokumentace.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E3C79">
        <w:trPr>
          <w:trHeight w:hRule="exact" w:val="24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6006" w:type="dxa"/>
            <w:gridSpan w:val="2"/>
          </w:tcPr>
          <w:p w:rsidR="000E3C79" w:rsidRDefault="000E3C79"/>
        </w:tc>
      </w:tr>
      <w:tr w:rsidR="000E3C79">
        <w:trPr>
          <w:trHeight w:hRule="exact" w:val="305"/>
        </w:trPr>
        <w:tc>
          <w:tcPr>
            <w:tcW w:w="455" w:type="dxa"/>
            <w:tcBorders>
              <w:bottom w:val="nil"/>
            </w:tcBorders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39" w:type="dxa"/>
            <w:tcBorders>
              <w:bottom w:val="nil"/>
            </w:tcBorders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</w:p>
        </w:tc>
        <w:tc>
          <w:tcPr>
            <w:tcW w:w="3003" w:type="dxa"/>
            <w:tcBorders>
              <w:bottom w:val="nil"/>
            </w:tcBorders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umožnil účastníkovi</w:t>
            </w:r>
          </w:p>
        </w:tc>
        <w:tc>
          <w:tcPr>
            <w:tcW w:w="3003" w:type="dxa"/>
            <w:tcBorders>
              <w:bottom w:val="nil"/>
            </w:tcBorders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řízení včetně změny vítězné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úpravu nabídky v průběhu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nabídky v průběhu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hodnocení nabídek, čímž došlo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k výběru tohoto účastníka,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nebo onem nebo Pokyny OPŽP,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příp. s dokumentem Zadávání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VZ v OPŽP jednal v průběhu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hodnocení nabídek s účastníky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řízení, což vedlo k podstatné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změně zadávacích podmínek,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95"/>
        </w:trPr>
        <w:tc>
          <w:tcPr>
            <w:tcW w:w="455" w:type="dxa"/>
            <w:tcBorders>
              <w:top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</w:tcBorders>
          </w:tcPr>
          <w:p w:rsidR="000E3C79" w:rsidRDefault="000E3C79"/>
        </w:tc>
        <w:tc>
          <w:tcPr>
            <w:tcW w:w="3003" w:type="dxa"/>
            <w:tcBorders>
              <w:top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příp. samotné nabídky.</w:t>
            </w:r>
          </w:p>
        </w:tc>
        <w:tc>
          <w:tcPr>
            <w:tcW w:w="3003" w:type="dxa"/>
            <w:tcBorders>
              <w:top w:val="nil"/>
            </w:tcBorders>
          </w:tcPr>
          <w:p w:rsidR="000E3C79" w:rsidRDefault="000E3C79"/>
        </w:tc>
      </w:tr>
      <w:tr w:rsidR="000E3C79">
        <w:trPr>
          <w:trHeight w:hRule="exact" w:val="305"/>
        </w:trPr>
        <w:tc>
          <w:tcPr>
            <w:tcW w:w="455" w:type="dxa"/>
            <w:tcBorders>
              <w:bottom w:val="nil"/>
            </w:tcBorders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39" w:type="dxa"/>
            <w:tcBorders>
              <w:bottom w:val="nil"/>
            </w:tcBorders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 předchozí</w:t>
            </w:r>
          </w:p>
        </w:tc>
        <w:tc>
          <w:tcPr>
            <w:tcW w:w="3003" w:type="dxa"/>
            <w:tcBorders>
              <w:bottom w:val="nil"/>
            </w:tcBorders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případech, kdy takovéto</w:t>
            </w:r>
          </w:p>
        </w:tc>
        <w:tc>
          <w:tcPr>
            <w:tcW w:w="3003" w:type="dxa"/>
            <w:tcBorders>
              <w:bottom w:val="nil"/>
            </w:tcBorders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zapojení dodavatelů do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má za následek porušení zásady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řízení či obdobná forma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nediskriminace, transparentnosti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spolupráce se zadavatelem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a rovného zacházení či vede k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95"/>
        </w:trPr>
        <w:tc>
          <w:tcPr>
            <w:tcW w:w="455" w:type="dxa"/>
            <w:tcBorders>
              <w:top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</w:tcBorders>
          </w:tcPr>
          <w:p w:rsidR="000E3C79" w:rsidRDefault="000E3C79"/>
        </w:tc>
        <w:tc>
          <w:tcPr>
            <w:tcW w:w="3003" w:type="dxa"/>
            <w:tcBorders>
              <w:top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narušení hospodářské soutěže.</w:t>
            </w:r>
          </w:p>
        </w:tc>
        <w:tc>
          <w:tcPr>
            <w:tcW w:w="3003" w:type="dxa"/>
            <w:tcBorders>
              <w:top w:val="nil"/>
            </w:tcBorders>
          </w:tcPr>
          <w:p w:rsidR="000E3C79" w:rsidRDefault="000E3C79"/>
        </w:tc>
      </w:tr>
      <w:tr w:rsidR="000E3C79">
        <w:trPr>
          <w:trHeight w:hRule="exact" w:val="305"/>
        </w:trPr>
        <w:tc>
          <w:tcPr>
            <w:tcW w:w="455" w:type="dxa"/>
            <w:tcBorders>
              <w:bottom w:val="nil"/>
            </w:tcBorders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39" w:type="dxa"/>
            <w:tcBorders>
              <w:bottom w:val="nil"/>
            </w:tcBorders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Změna počátečních</w:t>
            </w:r>
          </w:p>
        </w:tc>
        <w:tc>
          <w:tcPr>
            <w:tcW w:w="3003" w:type="dxa"/>
            <w:tcBorders>
              <w:bottom w:val="nil"/>
            </w:tcBorders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průběhu jednacího řízení</w:t>
            </w:r>
          </w:p>
        </w:tc>
        <w:tc>
          <w:tcPr>
            <w:tcW w:w="3003" w:type="dxa"/>
            <w:tcBorders>
              <w:bottom w:val="nil"/>
            </w:tcBorders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zadávacích podmínek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s uveřejněním došlo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v rámci jednacího řízení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k podstatným změnám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s uveřejněním vedoucí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původních zadávacích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k podstatné změně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40"/>
        </w:trPr>
        <w:tc>
          <w:tcPr>
            <w:tcW w:w="455" w:type="dxa"/>
            <w:tcBorders>
              <w:top w:val="nil"/>
              <w:bottom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zadávacích podmínek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následek povinnost nového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0E3C79" w:rsidRDefault="000E3C79"/>
        </w:tc>
      </w:tr>
      <w:tr w:rsidR="000E3C79">
        <w:trPr>
          <w:trHeight w:hRule="exact" w:val="295"/>
        </w:trPr>
        <w:tc>
          <w:tcPr>
            <w:tcW w:w="455" w:type="dxa"/>
            <w:tcBorders>
              <w:top w:val="nil"/>
            </w:tcBorders>
          </w:tcPr>
          <w:p w:rsidR="000E3C79" w:rsidRDefault="000E3C79"/>
        </w:tc>
        <w:tc>
          <w:tcPr>
            <w:tcW w:w="2639" w:type="dxa"/>
            <w:tcBorders>
              <w:top w:val="nil"/>
            </w:tcBorders>
          </w:tcPr>
          <w:p w:rsidR="000E3C79" w:rsidRDefault="000E3C79"/>
        </w:tc>
        <w:tc>
          <w:tcPr>
            <w:tcW w:w="3003" w:type="dxa"/>
            <w:tcBorders>
              <w:top w:val="nil"/>
            </w:tcBorders>
          </w:tcPr>
          <w:p w:rsidR="000E3C79" w:rsidRDefault="00A01542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uveřejnění řízení.</w:t>
            </w:r>
          </w:p>
        </w:tc>
        <w:tc>
          <w:tcPr>
            <w:tcW w:w="3003" w:type="dxa"/>
            <w:tcBorders>
              <w:top w:val="nil"/>
            </w:tcBorders>
          </w:tcPr>
          <w:p w:rsidR="000E3C79" w:rsidRDefault="000E3C79"/>
        </w:tc>
      </w:tr>
    </w:tbl>
    <w:p w:rsidR="000E3C79" w:rsidRDefault="000E3C79">
      <w:pPr>
        <w:sectPr w:rsidR="000E3C79">
          <w:pgSz w:w="11900" w:h="16840"/>
          <w:pgMar w:top="1960" w:right="860" w:bottom="1940" w:left="1000" w:header="817" w:footer="1740" w:gutter="0"/>
          <w:cols w:space="708"/>
        </w:sectPr>
      </w:pPr>
    </w:p>
    <w:p w:rsidR="000E3C79" w:rsidRDefault="000E3C79">
      <w:pPr>
        <w:pStyle w:val="Zkladntext"/>
        <w:rPr>
          <w:rFonts w:ascii="Times New Roman"/>
        </w:rPr>
      </w:pPr>
    </w:p>
    <w:p w:rsidR="000E3C79" w:rsidRDefault="000E3C79">
      <w:pPr>
        <w:pStyle w:val="Zkladntext"/>
        <w:spacing w:before="9"/>
        <w:rPr>
          <w:rFonts w:ascii="Times New Roman"/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639"/>
        <w:gridCol w:w="3003"/>
        <w:gridCol w:w="3003"/>
      </w:tblGrid>
      <w:tr w:rsidR="000E3C79">
        <w:trPr>
          <w:trHeight w:hRule="exact" w:val="3240"/>
        </w:trPr>
        <w:tc>
          <w:tcPr>
            <w:tcW w:w="455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39" w:type="dxa"/>
          </w:tcPr>
          <w:p w:rsidR="000E3C79" w:rsidRDefault="00A01542">
            <w:pPr>
              <w:pStyle w:val="TableParagraph"/>
              <w:spacing w:line="247" w:lineRule="auto"/>
              <w:ind w:right="73"/>
              <w:rPr>
                <w:sz w:val="20"/>
              </w:rPr>
            </w:pPr>
            <w:r>
              <w:rPr>
                <w:sz w:val="20"/>
              </w:rPr>
              <w:t>Neoprávněné vyloučení nabídky z důvodu mimořádně nízké nabídkové ceny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531"/>
              <w:rPr>
                <w:sz w:val="20"/>
              </w:rPr>
            </w:pPr>
            <w:r>
              <w:rPr>
                <w:sz w:val="20"/>
              </w:rPr>
              <w:t>Zadavatel vyloučil nabídku z důvodu mimořádně nízké</w:t>
            </w:r>
          </w:p>
          <w:p w:rsidR="000E3C79" w:rsidRDefault="00A01542">
            <w:pPr>
              <w:pStyle w:val="TableParagraph"/>
              <w:spacing w:before="0" w:line="247" w:lineRule="auto"/>
              <w:ind w:right="87"/>
              <w:rPr>
                <w:sz w:val="20"/>
              </w:rPr>
            </w:pPr>
            <w:r>
              <w:rPr>
                <w:sz w:val="20"/>
              </w:rPr>
              <w:t>nabídkové ceny, aniž by požádal účastníka výběrového/zadávacího řízení</w:t>
            </w:r>
          </w:p>
          <w:p w:rsidR="000E3C79" w:rsidRDefault="00A01542">
            <w:pPr>
              <w:pStyle w:val="TableParagraph"/>
              <w:spacing w:before="0" w:line="247" w:lineRule="auto"/>
              <w:ind w:right="184"/>
              <w:rPr>
                <w:sz w:val="20"/>
              </w:rPr>
            </w:pPr>
            <w:r>
              <w:rPr>
                <w:sz w:val="20"/>
              </w:rPr>
              <w:t>o odpovídající zdůvodnění nebo v případě, kdy zadavatel dodavat</w:t>
            </w:r>
            <w:r>
              <w:rPr>
                <w:sz w:val="20"/>
              </w:rPr>
              <w:t>ele ke zdůvodnění mimořádně nízké nabídkové ceny vyzval, nicméně není schopen prokázat, že odpovědi účastníků posoudil odpovídajícím způsobem.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3C79">
        <w:trPr>
          <w:trHeight w:hRule="exact" w:val="1320"/>
        </w:trPr>
        <w:tc>
          <w:tcPr>
            <w:tcW w:w="455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39" w:type="dxa"/>
          </w:tcPr>
          <w:p w:rsidR="000E3C79" w:rsidRDefault="00A01542">
            <w:pPr>
              <w:pStyle w:val="TableParagraph"/>
              <w:spacing w:line="247" w:lineRule="auto"/>
              <w:ind w:right="261"/>
              <w:rPr>
                <w:sz w:val="20"/>
              </w:rPr>
            </w:pPr>
            <w:r>
              <w:rPr>
                <w:sz w:val="20"/>
              </w:rPr>
              <w:t>Střet zájmů s dopadem na výsledek zadávacího/výběrového řízení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before="43" w:line="240" w:lineRule="exact"/>
              <w:ind w:right="79"/>
              <w:rPr>
                <w:sz w:val="16"/>
              </w:rPr>
            </w:pPr>
            <w:r>
              <w:rPr>
                <w:sz w:val="20"/>
              </w:rPr>
              <w:t>V případě, kdy při zadání veřejné zakázky dojde ke střetu zájmů, přičemž dotčený účastník zvítězí v zadávacím/výběrovém řízení.</w:t>
            </w:r>
            <w:r>
              <w:rPr>
                <w:position w:val="7"/>
                <w:sz w:val="16"/>
              </w:rPr>
              <w:t>2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E3C79">
        <w:trPr>
          <w:trHeight w:hRule="exact" w:val="1800"/>
        </w:trPr>
        <w:tc>
          <w:tcPr>
            <w:tcW w:w="455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39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326"/>
              <w:rPr>
                <w:sz w:val="20"/>
              </w:rPr>
            </w:pPr>
            <w:r>
              <w:rPr>
                <w:sz w:val="20"/>
              </w:rPr>
              <w:t>Bid-rigging (zakázaná spolupráce  dodavatelů ve výběrovém/zadávacím řízení)</w:t>
            </w:r>
          </w:p>
        </w:tc>
        <w:tc>
          <w:tcPr>
            <w:tcW w:w="3003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 hospodářské soutěže či jiný kompetentní úřad shledá, že při zadávání výběrového/zadávacího řízení došlo ke kartelové dohodě či jiné formě zakázané spolupráce mezi dodavateli.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249"/>
              <w:rPr>
                <w:sz w:val="20"/>
              </w:rPr>
            </w:pPr>
            <w:r>
              <w:rPr>
                <w:sz w:val="20"/>
              </w:rPr>
              <w:t>10 %, pokud účastníci, kteří se na bid-riggi</w:t>
            </w:r>
            <w:r>
              <w:rPr>
                <w:sz w:val="20"/>
              </w:rPr>
              <w:t>ngu podíleli, postupovali bez pomoci osoby v rámci řídícího či kontrolního</w:t>
            </w:r>
          </w:p>
          <w:p w:rsidR="000E3C79" w:rsidRDefault="00A01542">
            <w:pPr>
              <w:pStyle w:val="TableParagraph"/>
              <w:spacing w:before="0" w:line="247" w:lineRule="auto"/>
              <w:ind w:right="38"/>
              <w:rPr>
                <w:sz w:val="20"/>
              </w:rPr>
            </w:pPr>
            <w:r>
              <w:rPr>
                <w:sz w:val="20"/>
              </w:rPr>
              <w:t>systému nebo zadavatele a jeden z nich se stal vybraným dodavatelem</w:t>
            </w:r>
          </w:p>
        </w:tc>
      </w:tr>
      <w:tr w:rsidR="000E3C79">
        <w:trPr>
          <w:trHeight w:hRule="exact" w:val="84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177"/>
              <w:jc w:val="both"/>
              <w:rPr>
                <w:sz w:val="20"/>
              </w:rPr>
            </w:pPr>
            <w:r>
              <w:rPr>
                <w:sz w:val="20"/>
              </w:rPr>
              <w:t>25 %, pokud se na bid-riggingu nepodíleli jiní dodavatelé než ti, kteří se bid-riggingu účastnili</w:t>
            </w:r>
          </w:p>
        </w:tc>
      </w:tr>
      <w:tr w:rsidR="000E3C79">
        <w:trPr>
          <w:trHeight w:hRule="exact" w:val="228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41"/>
              <w:rPr>
                <w:sz w:val="20"/>
              </w:rPr>
            </w:pPr>
            <w:r>
              <w:rPr>
                <w:sz w:val="20"/>
              </w:rPr>
              <w:t>100 %, pokud se na bid-riggingu podílela osoba v rámci řídícího či kontrolního systému nebo zadavatel ve spolupráci</w:t>
            </w:r>
          </w:p>
          <w:p w:rsidR="000E3C79" w:rsidRDefault="00A01542">
            <w:pPr>
              <w:pStyle w:val="TableParagraph"/>
              <w:spacing w:before="0" w:line="247" w:lineRule="auto"/>
              <w:ind w:right="311"/>
              <w:rPr>
                <w:sz w:val="20"/>
              </w:rPr>
            </w:pPr>
            <w:r>
              <w:rPr>
                <w:sz w:val="20"/>
              </w:rPr>
              <w:t>s dodavateli podílejícími se na bid-riggingu a současně jeden z nich se stal vybraným dodavatelem</w:t>
            </w:r>
          </w:p>
        </w:tc>
      </w:tr>
    </w:tbl>
    <w:p w:rsidR="000E3C79" w:rsidRDefault="000E3C79">
      <w:pPr>
        <w:spacing w:line="247" w:lineRule="auto"/>
        <w:rPr>
          <w:sz w:val="20"/>
        </w:rPr>
        <w:sectPr w:rsidR="000E3C79">
          <w:pgSz w:w="11900" w:h="16840"/>
          <w:pgMar w:top="1960" w:right="860" w:bottom="1940" w:left="1000" w:header="817" w:footer="1740" w:gutter="0"/>
          <w:cols w:space="708"/>
        </w:sectPr>
      </w:pPr>
    </w:p>
    <w:p w:rsidR="000E3C79" w:rsidRDefault="000E3C79">
      <w:pPr>
        <w:pStyle w:val="Zkladntext"/>
        <w:rPr>
          <w:rFonts w:ascii="Times New Roman"/>
        </w:rPr>
      </w:pPr>
    </w:p>
    <w:p w:rsidR="000E3C79" w:rsidRDefault="000E3C79">
      <w:pPr>
        <w:pStyle w:val="Zkladntext"/>
        <w:spacing w:before="9"/>
        <w:rPr>
          <w:rFonts w:ascii="Times New Roman"/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639"/>
        <w:gridCol w:w="3003"/>
        <w:gridCol w:w="3003"/>
      </w:tblGrid>
      <w:tr w:rsidR="000E3C79">
        <w:trPr>
          <w:trHeight w:hRule="exact" w:val="1560"/>
        </w:trPr>
        <w:tc>
          <w:tcPr>
            <w:tcW w:w="455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39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003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240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plnění veřejné zakázky nebo práv a povinností vyplývajících ze smlouvy na plnění veřejné zakázky v rozporu se zákonem nebo s Pokyny v OPŽP, příp.</w:t>
            </w:r>
          </w:p>
          <w:p w:rsidR="000E3C79" w:rsidRDefault="00A01542">
            <w:pPr>
              <w:pStyle w:val="TableParagraph"/>
              <w:spacing w:before="0" w:line="247" w:lineRule="auto"/>
              <w:ind w:right="438"/>
              <w:rPr>
                <w:sz w:val="20"/>
              </w:rPr>
            </w:pPr>
            <w:r>
              <w:rPr>
                <w:sz w:val="20"/>
              </w:rPr>
              <w:t>s dokumentem Zadávání VZ v OP</w:t>
            </w:r>
            <w:r>
              <w:rPr>
                <w:sz w:val="20"/>
              </w:rPr>
              <w:t>ŽP.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411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0E3C79" w:rsidRDefault="00A01542">
            <w:pPr>
              <w:pStyle w:val="TableParagraph"/>
              <w:spacing w:before="0" w:line="233" w:lineRule="exact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0E3C79" w:rsidRDefault="00A01542">
            <w:pPr>
              <w:pStyle w:val="TableParagraph"/>
              <w:spacing w:before="6" w:line="247" w:lineRule="auto"/>
              <w:ind w:right="143"/>
              <w:rPr>
                <w:sz w:val="20"/>
              </w:rPr>
            </w:pPr>
            <w:r>
              <w:rPr>
                <w:sz w:val="20"/>
              </w:rPr>
              <w:t>25 % z hodnoty dodatečných stavebních prací, dodávek nebo služeb (tzv. vícepráce)</w:t>
            </w:r>
          </w:p>
        </w:tc>
      </w:tr>
      <w:tr w:rsidR="000E3C79">
        <w:trPr>
          <w:trHeight w:hRule="exact" w:val="228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411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0E3C79" w:rsidRDefault="00A01542">
            <w:pPr>
              <w:pStyle w:val="TableParagraph"/>
              <w:spacing w:before="0" w:line="233" w:lineRule="exact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0E3C79" w:rsidRDefault="00A01542">
            <w:pPr>
              <w:pStyle w:val="TableParagraph"/>
              <w:spacing w:before="6" w:line="247" w:lineRule="auto"/>
              <w:ind w:right="11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 zakázky v případě, že takové zvýšení převyšuje 50 % hodnoty původní veřejné zakázky</w:t>
            </w:r>
          </w:p>
        </w:tc>
      </w:tr>
      <w:tr w:rsidR="000E3C79">
        <w:trPr>
          <w:trHeight w:hRule="exact" w:val="360"/>
        </w:trPr>
        <w:tc>
          <w:tcPr>
            <w:tcW w:w="455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39" w:type="dxa"/>
            <w:vMerge w:val="restart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003" w:type="dxa"/>
            <w:vMerge w:val="restart"/>
          </w:tcPr>
          <w:p w:rsidR="000E3C79" w:rsidRDefault="00A01542">
            <w:pPr>
              <w:pStyle w:val="TableParagraph"/>
              <w:spacing w:line="247" w:lineRule="auto"/>
              <w:ind w:right="103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 nebo mohlo mít vliv na výběr dodavatele, nebo které znemožnilo ověření souladu jeho postupu s čl. IV. odst. 1 písm. s) Smlouvy včetně nedodržení základních zásad zadávacího řízení.</w:t>
            </w:r>
          </w:p>
        </w:tc>
        <w:tc>
          <w:tcPr>
            <w:tcW w:w="3003" w:type="dxa"/>
          </w:tcPr>
          <w:p w:rsidR="000E3C79" w:rsidRDefault="00A01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E3C79">
        <w:trPr>
          <w:trHeight w:hRule="exact" w:val="1920"/>
        </w:trPr>
        <w:tc>
          <w:tcPr>
            <w:tcW w:w="455" w:type="dxa"/>
            <w:vMerge/>
          </w:tcPr>
          <w:p w:rsidR="000E3C79" w:rsidRDefault="000E3C79"/>
        </w:tc>
        <w:tc>
          <w:tcPr>
            <w:tcW w:w="2639" w:type="dxa"/>
            <w:vMerge/>
          </w:tcPr>
          <w:p w:rsidR="000E3C79" w:rsidRDefault="000E3C79"/>
        </w:tc>
        <w:tc>
          <w:tcPr>
            <w:tcW w:w="3003" w:type="dxa"/>
            <w:vMerge/>
          </w:tcPr>
          <w:p w:rsidR="000E3C79" w:rsidRDefault="000E3C79"/>
        </w:tc>
        <w:tc>
          <w:tcPr>
            <w:tcW w:w="3003" w:type="dxa"/>
          </w:tcPr>
          <w:p w:rsidR="000E3C79" w:rsidRDefault="00A01542">
            <w:pPr>
              <w:pStyle w:val="TableParagraph"/>
              <w:spacing w:line="247" w:lineRule="auto"/>
              <w:ind w:right="386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0E3C79" w:rsidRDefault="000E3C79">
      <w:pPr>
        <w:pStyle w:val="Zkladntext"/>
        <w:spacing w:before="8"/>
        <w:rPr>
          <w:rFonts w:ascii="Times New Roman"/>
          <w:sz w:val="21"/>
        </w:rPr>
      </w:pPr>
    </w:p>
    <w:p w:rsidR="000E3C79" w:rsidRDefault="00A01542">
      <w:pPr>
        <w:spacing w:before="81"/>
        <w:ind w:left="460"/>
        <w:rPr>
          <w:sz w:val="14"/>
        </w:rPr>
      </w:pPr>
      <w:r>
        <w:rPr>
          <w:position w:val="5"/>
          <w:sz w:val="11"/>
        </w:rPr>
        <w:t xml:space="preserve">1 </w:t>
      </w:r>
      <w:r>
        <w:rPr>
          <w:sz w:val="14"/>
        </w:rPr>
        <w:t>Kromě případů, kdy nesrovnalost spadá pod jiný typ porušení.</w:t>
      </w:r>
    </w:p>
    <w:p w:rsidR="000E3C79" w:rsidRDefault="00A01542">
      <w:pPr>
        <w:spacing w:before="42"/>
        <w:ind w:left="460"/>
        <w:rPr>
          <w:sz w:val="14"/>
        </w:rPr>
      </w:pPr>
      <w:r>
        <w:rPr>
          <w:position w:val="5"/>
          <w:sz w:val="11"/>
        </w:rPr>
        <w:t xml:space="preserve">2 </w:t>
      </w:r>
      <w:r>
        <w:rPr>
          <w:sz w:val="14"/>
        </w:rPr>
        <w:t>Střet zájmů může nastat již ve fázi přípravy projektu, pokud měla příprava projektu vliv na zadávací dokumentaci/zadávací řízení.</w:t>
      </w:r>
    </w:p>
    <w:sectPr w:rsidR="000E3C79">
      <w:pgSz w:w="11900" w:h="16840"/>
      <w:pgMar w:top="1960" w:right="860" w:bottom="1940" w:left="1000" w:header="817" w:footer="17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42" w:rsidRDefault="00A01542">
      <w:r>
        <w:separator/>
      </w:r>
    </w:p>
  </w:endnote>
  <w:endnote w:type="continuationSeparator" w:id="0">
    <w:p w:rsidR="00A01542" w:rsidRDefault="00A0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JohnSans Text Pro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C79" w:rsidRDefault="00D670E6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500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9410700</wp:posOffset>
              </wp:positionV>
              <wp:extent cx="5891530" cy="370840"/>
              <wp:effectExtent l="0" t="0" r="444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153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79" w:rsidRDefault="00A01542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66666"/>
                              <w:sz w:val="16"/>
                            </w:rPr>
                            <w:t>Státní fond životního prostředí ČR, sídlo: Kaplanova 1931/1, 148 00 Praha 11</w:t>
                          </w:r>
                        </w:p>
                        <w:p w:rsidR="000E3C79" w:rsidRDefault="00A01542">
                          <w:pPr>
                            <w:spacing w:before="5" w:line="247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66666"/>
                              <w:sz w:val="16"/>
                            </w:rPr>
                            <w:t xml:space="preserve">Korespondenční a kontaktní adresa: Olbrachtova 2006/9, 140 00 Praha 4, T: +420 267 994 300, F: +420 272 936 585, IČ: 00020729 </w:t>
                          </w:r>
                          <w:hyperlink r:id="rId1">
                            <w:r>
                              <w:rPr>
                                <w:color w:val="666666"/>
                                <w:sz w:val="16"/>
                              </w:rPr>
                              <w:t>www</w:t>
                            </w:r>
                            <w:r>
                              <w:rPr>
                                <w:color w:val="666666"/>
                                <w:sz w:val="16"/>
                              </w:rPr>
                              <w:t>.sfzp.cz,</w:t>
                            </w:r>
                          </w:hyperlink>
                          <w:r>
                            <w:rPr>
                              <w:color w:val="66666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66666"/>
                                <w:sz w:val="16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41pt;width:463.9pt;height:29.2pt;z-index:-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5k2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" filled="f" stroked="f">
              <v:textbox inset="0,0,0,0">
                <w:txbxContent>
                  <w:p w:rsidR="000E3C79" w:rsidRDefault="00A01542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666666"/>
                        <w:sz w:val="16"/>
                      </w:rPr>
                      <w:t>Státní fond životního prostředí ČR, sídlo: Kaplanova 1931/1, 148 00 Praha 11</w:t>
                    </w:r>
                  </w:p>
                  <w:p w:rsidR="000E3C79" w:rsidRDefault="00A01542">
                    <w:pPr>
                      <w:spacing w:before="5" w:line="247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666666"/>
                        <w:sz w:val="16"/>
                      </w:rPr>
                      <w:t xml:space="preserve">Korespondenční a kontaktní adresa: Olbrachtova 2006/9, 140 00 Praha 4, T: +420 267 994 300, F: +420 272 936 585, IČ: 00020729 </w:t>
                    </w:r>
                    <w:hyperlink r:id="rId3">
                      <w:r>
                        <w:rPr>
                          <w:color w:val="666666"/>
                          <w:sz w:val="16"/>
                        </w:rPr>
                        <w:t>www</w:t>
                      </w:r>
                      <w:r>
                        <w:rPr>
                          <w:color w:val="666666"/>
                          <w:sz w:val="16"/>
                        </w:rPr>
                        <w:t>.sfzp.cz,</w:t>
                      </w:r>
                    </w:hyperlink>
                    <w:r>
                      <w:rPr>
                        <w:color w:val="66666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66666"/>
                          <w:sz w:val="16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5032" behindDoc="1" locked="0" layoutInCell="1" allowOverlap="1">
              <wp:simplePos x="0" y="0"/>
              <wp:positionH relativeFrom="page">
                <wp:posOffset>6864985</wp:posOffset>
              </wp:positionH>
              <wp:positionV relativeFrom="page">
                <wp:posOffset>9852660</wp:posOffset>
              </wp:positionV>
              <wp:extent cx="107315" cy="127000"/>
              <wp:effectExtent l="0" t="381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79" w:rsidRDefault="00A01542">
                          <w:pPr>
                            <w:spacing w:line="183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70E6">
                            <w:rPr>
                              <w:noProof/>
                              <w:color w:val="666666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40.55pt;margin-top:775.8pt;width:8.45pt;height:10pt;z-index:-21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" filled="f" stroked="f">
              <v:textbox inset="0,0,0,0">
                <w:txbxContent>
                  <w:p w:rsidR="000E3C79" w:rsidRDefault="00A01542">
                    <w:pPr>
                      <w:spacing w:line="183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70E6">
                      <w:rPr>
                        <w:noProof/>
                        <w:color w:val="666666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42" w:rsidRDefault="00A01542">
      <w:r>
        <w:separator/>
      </w:r>
    </w:p>
  </w:footnote>
  <w:footnote w:type="continuationSeparator" w:id="0">
    <w:p w:rsidR="00A01542" w:rsidRDefault="00A0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C79" w:rsidRDefault="00A01542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268413959" behindDoc="1" locked="0" layoutInCell="1" allowOverlap="1">
          <wp:simplePos x="0" y="0"/>
          <wp:positionH relativeFrom="page">
            <wp:posOffset>698500</wp:posOffset>
          </wp:positionH>
          <wp:positionV relativeFrom="page">
            <wp:posOffset>518922</wp:posOffset>
          </wp:positionV>
          <wp:extent cx="2540000" cy="72567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00" cy="725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422A1"/>
    <w:multiLevelType w:val="hybridMultilevel"/>
    <w:tmpl w:val="55840D4E"/>
    <w:lvl w:ilvl="0" w:tplc="AFFE3734">
      <w:start w:val="1"/>
      <w:numFmt w:val="upperRoman"/>
      <w:lvlText w:val="%1."/>
      <w:lvlJc w:val="left"/>
      <w:pPr>
        <w:ind w:left="915" w:hanging="455"/>
        <w:jc w:val="left"/>
      </w:pPr>
      <w:rPr>
        <w:rFonts w:ascii="JohnSans Text Pro" w:eastAsia="JohnSans Text Pro" w:hAnsi="JohnSans Text Pro" w:cs="JohnSans Text Pro" w:hint="default"/>
        <w:spacing w:val="-8"/>
        <w:w w:val="100"/>
        <w:sz w:val="20"/>
        <w:szCs w:val="20"/>
      </w:rPr>
    </w:lvl>
    <w:lvl w:ilvl="1" w:tplc="51C20A54">
      <w:numFmt w:val="bullet"/>
      <w:lvlText w:val="•"/>
      <w:lvlJc w:val="left"/>
      <w:pPr>
        <w:ind w:left="1832" w:hanging="455"/>
      </w:pPr>
      <w:rPr>
        <w:rFonts w:hint="default"/>
      </w:rPr>
    </w:lvl>
    <w:lvl w:ilvl="2" w:tplc="936AF780">
      <w:numFmt w:val="bullet"/>
      <w:lvlText w:val="•"/>
      <w:lvlJc w:val="left"/>
      <w:pPr>
        <w:ind w:left="2744" w:hanging="455"/>
      </w:pPr>
      <w:rPr>
        <w:rFonts w:hint="default"/>
      </w:rPr>
    </w:lvl>
    <w:lvl w:ilvl="3" w:tplc="6A9EAC8C">
      <w:numFmt w:val="bullet"/>
      <w:lvlText w:val="•"/>
      <w:lvlJc w:val="left"/>
      <w:pPr>
        <w:ind w:left="3656" w:hanging="455"/>
      </w:pPr>
      <w:rPr>
        <w:rFonts w:hint="default"/>
      </w:rPr>
    </w:lvl>
    <w:lvl w:ilvl="4" w:tplc="0D749D3E">
      <w:numFmt w:val="bullet"/>
      <w:lvlText w:val="•"/>
      <w:lvlJc w:val="left"/>
      <w:pPr>
        <w:ind w:left="4568" w:hanging="455"/>
      </w:pPr>
      <w:rPr>
        <w:rFonts w:hint="default"/>
      </w:rPr>
    </w:lvl>
    <w:lvl w:ilvl="5" w:tplc="FD761C92">
      <w:numFmt w:val="bullet"/>
      <w:lvlText w:val="•"/>
      <w:lvlJc w:val="left"/>
      <w:pPr>
        <w:ind w:left="5480" w:hanging="455"/>
      </w:pPr>
      <w:rPr>
        <w:rFonts w:hint="default"/>
      </w:rPr>
    </w:lvl>
    <w:lvl w:ilvl="6" w:tplc="74041BD0">
      <w:numFmt w:val="bullet"/>
      <w:lvlText w:val="•"/>
      <w:lvlJc w:val="left"/>
      <w:pPr>
        <w:ind w:left="6392" w:hanging="455"/>
      </w:pPr>
      <w:rPr>
        <w:rFonts w:hint="default"/>
      </w:rPr>
    </w:lvl>
    <w:lvl w:ilvl="7" w:tplc="6108E6E6">
      <w:numFmt w:val="bullet"/>
      <w:lvlText w:val="•"/>
      <w:lvlJc w:val="left"/>
      <w:pPr>
        <w:ind w:left="7304" w:hanging="455"/>
      </w:pPr>
      <w:rPr>
        <w:rFonts w:hint="default"/>
      </w:rPr>
    </w:lvl>
    <w:lvl w:ilvl="8" w:tplc="899A5194">
      <w:numFmt w:val="bullet"/>
      <w:lvlText w:val="•"/>
      <w:lvlJc w:val="left"/>
      <w:pPr>
        <w:ind w:left="8216" w:hanging="4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79"/>
    <w:rsid w:val="000E3C79"/>
    <w:rsid w:val="00A01542"/>
    <w:rsid w:val="00D6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B3F53A-580C-4295-BF3D-82171D1A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9"/>
      <w:ind w:left="915" w:right="596" w:hanging="45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0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fzp.cz/" TargetMode="External"/><Relationship Id="rId2" Type="http://schemas.openxmlformats.org/officeDocument/2006/relationships/hyperlink" Target="mailto:dotazy@sfzp.cz" TargetMode="External"/><Relationship Id="rId1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2465</Words>
  <Characters>14546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Lauferova Miroslava</dc:creator>
  <cp:lastModifiedBy>Lauferova Miroslava</cp:lastModifiedBy>
  <cp:revision>2</cp:revision>
  <dcterms:created xsi:type="dcterms:W3CDTF">2019-11-13T14:57:00Z</dcterms:created>
  <dcterms:modified xsi:type="dcterms:W3CDTF">2019-11-13T14:57:00Z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2019-11-13T00:00:00Z</vt:filetime>
  </property>
</Properties>
</file>