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</w:t>
      </w:r>
      <w:proofErr w:type="gramEnd"/>
      <w:r w:rsidR="009160A9" w:rsidRPr="008E67CF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E1673F" w:rsidRDefault="00D16BC3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 w:rsidRPr="00E1673F">
            <w:rPr>
              <w:rFonts w:ascii="Calibri" w:hAnsi="Calibri"/>
              <w:b/>
              <w:sz w:val="22"/>
              <w:szCs w:val="22"/>
            </w:rPr>
            <w:t>S&amp;T Plus, s.r.o.</w:t>
          </w:r>
        </w:p>
      </w:sdtContent>
    </w:sdt>
    <w:p w:rsidR="009160A9" w:rsidRPr="00E1673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>se sídlem</w:t>
      </w:r>
      <w:r w:rsidR="0029507F" w:rsidRPr="00E1673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Novodvorská 994, 142 21 Praha 4</w:t>
          </w:r>
        </w:sdtContent>
      </w:sdt>
    </w:p>
    <w:p w:rsidR="009160A9" w:rsidRPr="00E1673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>IČ</w:t>
      </w:r>
      <w:r w:rsidR="0029507F" w:rsidRPr="00E1673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25701576</w:t>
          </w:r>
        </w:sdtContent>
      </w:sdt>
    </w:p>
    <w:p w:rsidR="00385E0C" w:rsidRPr="00E1673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>DIČ</w:t>
      </w:r>
      <w:r w:rsidR="0029507F" w:rsidRPr="00E1673F">
        <w:rPr>
          <w:rFonts w:ascii="Calibri" w:hAnsi="Calibri"/>
          <w:sz w:val="22"/>
          <w:szCs w:val="22"/>
        </w:rPr>
        <w:t>:</w:t>
      </w:r>
      <w:r w:rsidRPr="00E1673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CZ25701576</w:t>
          </w:r>
        </w:sdtContent>
      </w:sdt>
    </w:p>
    <w:p w:rsidR="009160A9" w:rsidRPr="00E1673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RNDr. Ivo Strnad, jednatel společnosti</w:t>
          </w:r>
        </w:sdtContent>
      </w:sdt>
    </w:p>
    <w:p w:rsidR="009160A9" w:rsidRPr="00E1673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 xml:space="preserve">Městský soud </w:t>
          </w:r>
        </w:sdtContent>
      </w:sdt>
      <w:r w:rsidRPr="00E1673F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Praze</w:t>
          </w:r>
        </w:sdtContent>
      </w:sdt>
      <w:r w:rsidRPr="00E1673F">
        <w:rPr>
          <w:rFonts w:ascii="Calibri" w:hAnsi="Calibri"/>
          <w:sz w:val="22"/>
          <w:szCs w:val="22"/>
        </w:rPr>
        <w:t>, oddíl</w:t>
      </w:r>
      <w:r w:rsidR="00B84BBD" w:rsidRPr="00E1673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C</w:t>
          </w:r>
        </w:sdtContent>
      </w:sdt>
      <w:r w:rsidRPr="00E1673F">
        <w:rPr>
          <w:rFonts w:ascii="Calibri" w:hAnsi="Calibri"/>
          <w:sz w:val="22"/>
          <w:szCs w:val="22"/>
        </w:rPr>
        <w:t>, vložka</w:t>
      </w:r>
      <w:r w:rsidR="00B83B67" w:rsidRPr="00E1673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>62478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E1673F">
        <w:rPr>
          <w:rFonts w:ascii="Calibri" w:hAnsi="Calibri"/>
          <w:sz w:val="22"/>
          <w:szCs w:val="22"/>
        </w:rPr>
        <w:t>bankovní spojení:</w:t>
      </w:r>
      <w:r w:rsidR="00B83B67" w:rsidRPr="00E1673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D16BC3" w:rsidRPr="00E1673F">
            <w:rPr>
              <w:rFonts w:ascii="Calibri" w:hAnsi="Calibri"/>
              <w:sz w:val="22"/>
              <w:szCs w:val="22"/>
            </w:rPr>
            <w:t xml:space="preserve">Česká </w:t>
          </w:r>
          <w:proofErr w:type="spellStart"/>
          <w:r w:rsidR="00D16BC3" w:rsidRPr="00E1673F">
            <w:rPr>
              <w:rFonts w:ascii="Calibri" w:hAnsi="Calibri"/>
              <w:sz w:val="22"/>
              <w:szCs w:val="22"/>
            </w:rPr>
            <w:t>spořitelna,a.s</w:t>
          </w:r>
          <w:proofErr w:type="spellEnd"/>
          <w:r w:rsidR="00D16BC3" w:rsidRPr="00E1673F">
            <w:rPr>
              <w:rFonts w:ascii="Calibri" w:hAnsi="Calibri"/>
              <w:sz w:val="22"/>
              <w:szCs w:val="22"/>
            </w:rPr>
            <w:t xml:space="preserve">. </w:t>
          </w:r>
          <w:proofErr w:type="spellStart"/>
          <w:proofErr w:type="gramStart"/>
          <w:r w:rsidR="00D16BC3" w:rsidRPr="00E1673F">
            <w:rPr>
              <w:rFonts w:ascii="Calibri" w:hAnsi="Calibri"/>
              <w:sz w:val="22"/>
              <w:szCs w:val="22"/>
            </w:rPr>
            <w:t>č.ú</w:t>
          </w:r>
          <w:proofErr w:type="spellEnd"/>
          <w:r w:rsidR="00D16BC3" w:rsidRPr="00E1673F">
            <w:rPr>
              <w:rFonts w:ascii="Calibri" w:hAnsi="Calibri"/>
              <w:sz w:val="22"/>
              <w:szCs w:val="22"/>
            </w:rPr>
            <w:t>.:</w:t>
          </w:r>
          <w:proofErr w:type="gramEnd"/>
          <w:r w:rsidR="00D16BC3" w:rsidRPr="00E1673F">
            <w:rPr>
              <w:rFonts w:ascii="Calibri" w:hAnsi="Calibri"/>
              <w:sz w:val="22"/>
              <w:szCs w:val="22"/>
            </w:rPr>
            <w:t xml:space="preserve"> 477 0192/0800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lastRenderedPageBreak/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753F04">
        <w:rPr>
          <w:rFonts w:asciiTheme="minorHAnsi" w:hAnsiTheme="minorHAnsi" w:cstheme="minorHAnsi"/>
          <w:sz w:val="22"/>
          <w:szCs w:val="22"/>
        </w:rPr>
        <w:t>otevřeného</w:t>
      </w:r>
      <w:r w:rsidR="003A724B" w:rsidRPr="003A724B">
        <w:rPr>
          <w:rFonts w:asciiTheme="minorHAnsi" w:hAnsiTheme="minorHAnsi" w:cstheme="minorHAnsi"/>
          <w:sz w:val="22"/>
          <w:szCs w:val="22"/>
        </w:rPr>
        <w:t xml:space="preserve"> řízení podle zákona č. 137/2006 Sb., o veřejných zakázkách v platném znění zahájeného kupujícím jako veřejným zadavatelem s 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15578A">
        <w:rPr>
          <w:rFonts w:asciiTheme="minorHAnsi" w:hAnsiTheme="minorHAnsi" w:cs="Baskerville"/>
          <w:b/>
          <w:bCs/>
          <w:iCs/>
          <w:sz w:val="22"/>
          <w:szCs w:val="22"/>
        </w:rPr>
        <w:t>Monitory vitálních funkcí s centrálou pro KCHK“,</w:t>
      </w:r>
      <w:r w:rsidR="004468BD">
        <w:rPr>
          <w:rFonts w:asciiTheme="minorHAnsi" w:hAnsiTheme="minorHAnsi" w:cs="Baskerville"/>
          <w:b/>
          <w:bCs/>
          <w:iCs/>
          <w:sz w:val="22"/>
          <w:szCs w:val="22"/>
        </w:rPr>
        <w:t xml:space="preserve">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VZ-2016-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lastRenderedPageBreak/>
        <w:t>000</w:t>
      </w:r>
      <w:r w:rsidR="0015578A">
        <w:rPr>
          <w:rFonts w:asciiTheme="minorHAnsi" w:hAnsiTheme="minorHAnsi" w:cstheme="minorHAnsi"/>
          <w:b/>
          <w:sz w:val="22"/>
          <w:szCs w:val="22"/>
        </w:rPr>
        <w:t>213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asciiTheme="minorHAnsi" w:hAnsiTheme="minorHAnsi" w:cs="Calibri"/>
            <w:b/>
            <w:sz w:val="22"/>
            <w:szCs w:val="22"/>
            <w:highlight w:val="yellow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D16BC3" w:rsidRPr="00D16BC3">
            <w:rPr>
              <w:rFonts w:asciiTheme="minorHAnsi" w:hAnsiTheme="minorHAnsi" w:cs="Calibri"/>
              <w:b/>
              <w:sz w:val="22"/>
              <w:szCs w:val="22"/>
              <w:highlight w:val="yellow"/>
            </w:rPr>
            <w:t>Monitory vitálních funkcí s centrálou pro KCH</w:t>
          </w:r>
        </w:sdtContent>
      </w:sdt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  <w:highlight w:val="yellow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9243A0">
            <w:rPr>
              <w:b/>
              <w:sz w:val="22"/>
              <w:highlight w:val="yellow"/>
            </w:rPr>
            <w:t>1</w:t>
          </w:r>
        </w:sdtContent>
      </w:sdt>
      <w:r>
        <w:rPr>
          <w:b/>
          <w:sz w:val="22"/>
        </w:rPr>
        <w:t xml:space="preserve"> za </w:t>
      </w:r>
      <w:r w:rsidRPr="00AC70F0">
        <w:rPr>
          <w:b/>
          <w:sz w:val="22"/>
        </w:rPr>
        <w:t>rok</w:t>
      </w:r>
      <w:r>
        <w:rPr>
          <w:b/>
          <w:sz w:val="22"/>
        </w:rPr>
        <w:t>(y)</w:t>
      </w:r>
      <w:r w:rsidRPr="00AC70F0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lastRenderedPageBreak/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  <w:highlight w:val="yellow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D16BC3">
            <w:rPr>
              <w:b/>
              <w:sz w:val="22"/>
              <w:highlight w:val="yellow"/>
            </w:rPr>
            <w:t>1</w:t>
          </w:r>
        </w:sdtContent>
      </w:sdt>
      <w:r w:rsidRPr="003D7133">
        <w:rPr>
          <w:b/>
          <w:sz w:val="22"/>
        </w:rPr>
        <w:t xml:space="preserve"> za rok(y)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příloze č.2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</w:t>
      </w:r>
      <w:r w:rsidRPr="00E139FA">
        <w:rPr>
          <w:sz w:val="22"/>
        </w:rPr>
        <w:lastRenderedPageBreak/>
        <w:t>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D16BC3" w:rsidRPr="00376B34">
            <w:rPr>
              <w:b/>
              <w:sz w:val="22"/>
              <w:highlight w:val="yellow"/>
            </w:rPr>
            <w:t>+420 239 047 505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D16BC3">
            <w:rPr>
              <w:b/>
              <w:sz w:val="22"/>
              <w:highlight w:val="yellow"/>
            </w:rPr>
            <w:t>servis</w:t>
          </w:r>
        </w:sdtContent>
      </w:sdt>
      <w:r w:rsidRPr="00AC70F0">
        <w:rPr>
          <w:b/>
          <w:sz w:val="22"/>
        </w:rPr>
        <w:t>@</w:t>
      </w:r>
      <w:sdt>
        <w:sdtPr>
          <w:rPr>
            <w:b/>
            <w:sz w:val="22"/>
            <w:highlight w:val="yellow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D16BC3">
            <w:rPr>
              <w:b/>
              <w:sz w:val="22"/>
              <w:highlight w:val="yellow"/>
            </w:rPr>
            <w:t>sntplus.cz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  <w:highlight w:val="yellow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7C267E">
            <w:rPr>
              <w:b/>
              <w:snapToGrid w:val="0"/>
              <w:sz w:val="22"/>
              <w:highlight w:val="yellow"/>
            </w:rPr>
            <w:t>48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lastRenderedPageBreak/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  <w:highlight w:val="yellow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7C267E">
            <w:rPr>
              <w:b/>
              <w:sz w:val="22"/>
              <w:highlight w:val="yellow"/>
            </w:rPr>
            <w:t>96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  <w:highlight w:val="yellow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7C267E">
            <w:rPr>
              <w:b/>
              <w:snapToGrid w:val="0"/>
              <w:sz w:val="22"/>
              <w:highlight w:val="yellow"/>
            </w:rPr>
            <w:t>48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. Tento protokol bude v kopii předán objednateli spolu s fakturou. V případě instruktáže </w:t>
      </w:r>
      <w:r w:rsidRPr="00E139FA">
        <w:rPr>
          <w:sz w:val="22"/>
        </w:rPr>
        <w:lastRenderedPageBreak/>
        <w:t>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</w:t>
      </w:r>
      <w:r w:rsidRPr="00CB7A0D">
        <w:rPr>
          <w:color w:val="000000"/>
          <w:sz w:val="22"/>
        </w:rPr>
        <w:lastRenderedPageBreak/>
        <w:t>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technika   činí 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D16BC3">
            <w:rPr>
              <w:rFonts w:ascii="Calibri" w:hAnsi="Calibri"/>
              <w:color w:val="000000"/>
              <w:sz w:val="22"/>
              <w:szCs w:val="22"/>
              <w:highlight w:val="yellow"/>
            </w:rPr>
            <w:t>690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D16BC3">
            <w:rPr>
              <w:rFonts w:ascii="Calibri" w:hAnsi="Calibri"/>
              <w:color w:val="000000"/>
              <w:sz w:val="22"/>
              <w:szCs w:val="22"/>
              <w:highlight w:val="yellow"/>
            </w:rPr>
            <w:t>835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</w:sdtContent>
      </w:sdt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F92769">
            <w:rPr>
              <w:rFonts w:ascii="Calibri" w:hAnsi="Calibri"/>
              <w:color w:val="000000"/>
              <w:sz w:val="22"/>
              <w:szCs w:val="22"/>
              <w:highlight w:val="yellow"/>
            </w:rPr>
            <w:t>0</w:t>
          </w:r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2"/>
          <w:placeholder>
            <w:docPart w:val="DefaultPlaceholder_22675703"/>
          </w:placeholder>
          <w:text/>
        </w:sdtPr>
        <w:sdtEndPr/>
        <w:sdtContent>
          <w:r w:rsidR="007C267E">
            <w:rPr>
              <w:rFonts w:ascii="Calibri" w:hAnsi="Calibri"/>
              <w:color w:val="000000"/>
              <w:sz w:val="22"/>
              <w:szCs w:val="22"/>
              <w:highlight w:val="yellow"/>
            </w:rPr>
            <w:t>19 740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917796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23 885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>0,-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9243A0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0,- 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-2016-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15578A">
        <w:rPr>
          <w:rFonts w:ascii="Calibri" w:hAnsi="Calibri"/>
          <w:b/>
          <w:sz w:val="22"/>
          <w:szCs w:val="22"/>
        </w:rPr>
        <w:t>213</w:t>
      </w:r>
      <w:r w:rsidR="0094363C">
        <w:rPr>
          <w:rFonts w:ascii="Calibri" w:hAnsi="Calibri"/>
          <w:b/>
          <w:sz w:val="22"/>
          <w:szCs w:val="22"/>
        </w:rPr>
        <w:t xml:space="preserve"> </w:t>
      </w:r>
      <w:r w:rsidR="006A36FD" w:rsidRPr="00CC528A">
        <w:rPr>
          <w:rFonts w:ascii="Calibri" w:hAnsi="Calibri"/>
          <w:sz w:val="22"/>
          <w:szCs w:val="22"/>
        </w:rPr>
        <w:t>a</w:t>
      </w:r>
      <w:r w:rsidR="006A36FD">
        <w:rPr>
          <w:rFonts w:ascii="Calibri" w:hAnsi="Calibri"/>
          <w:sz w:val="22"/>
          <w:szCs w:val="22"/>
        </w:rPr>
        <w:t xml:space="preserve"> </w:t>
      </w:r>
      <w:r w:rsidR="004468BD" w:rsidRPr="004468BD">
        <w:rPr>
          <w:rFonts w:ascii="Calibri" w:hAnsi="Calibri"/>
          <w:bCs/>
          <w:sz w:val="22"/>
          <w:szCs w:val="22"/>
        </w:rPr>
        <w:t>evidenční číslo z věstníku veřejných zakázek</w:t>
      </w:r>
      <w:r w:rsidR="0015578A">
        <w:rPr>
          <w:rFonts w:ascii="Calibri" w:hAnsi="Calibri"/>
          <w:bCs/>
          <w:sz w:val="22"/>
          <w:szCs w:val="22"/>
        </w:rPr>
        <w:t xml:space="preserve"> </w:t>
      </w:r>
      <w:r w:rsidR="0015578A" w:rsidRPr="0015578A">
        <w:rPr>
          <w:rFonts w:ascii="Calibri" w:hAnsi="Calibri"/>
          <w:b/>
          <w:bCs/>
          <w:sz w:val="22"/>
          <w:szCs w:val="22"/>
        </w:rPr>
        <w:t>636951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9160A9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lastRenderedPageBreak/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D16BC3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D16BC3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D16BC3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D16BC3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16BC3">
        <w:rPr>
          <w:rFonts w:asciiTheme="minorHAnsi" w:hAnsiTheme="minorHAnsi"/>
          <w:sz w:val="22"/>
          <w:szCs w:val="22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lastRenderedPageBreak/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 xml:space="preserve"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</w:t>
      </w:r>
      <w:r w:rsidRPr="008E67CF">
        <w:rPr>
          <w:sz w:val="22"/>
        </w:rPr>
        <w:lastRenderedPageBreak/>
        <w:t>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</w:t>
      </w:r>
      <w:r w:rsidR="00D61CC3" w:rsidRPr="00D61CC3">
        <w:rPr>
          <w:sz w:val="22"/>
          <w:szCs w:val="22"/>
        </w:rPr>
        <w:lastRenderedPageBreak/>
        <w:t>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E1673F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 Olomouci dne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23.12.2016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E1673F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16BC3">
                  <w:rPr>
                    <w:rFonts w:ascii="Calibri" w:hAnsi="Calibri"/>
                    <w:sz w:val="22"/>
                    <w:szCs w:val="22"/>
                    <w:highlight w:val="yellow"/>
                  </w:rPr>
                  <w:t>Praze</w:t>
                </w:r>
              </w:sdtContent>
            </w:sdt>
            <w:r w:rsidR="00D05B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CB7A0D">
              <w:rPr>
                <w:rFonts w:ascii="Calibri" w:hAnsi="Calibri"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E1673F">
                  <w:rPr>
                    <w:rFonts w:ascii="Calibri" w:hAnsi="Calibri"/>
                    <w:sz w:val="22"/>
                    <w:szCs w:val="22"/>
                    <w:highlight w:val="yellow"/>
                  </w:rPr>
                  <w:t>6.12</w:t>
                </w:r>
                <w:r w:rsidR="00A70854">
                  <w:rPr>
                    <w:rFonts w:ascii="Calibri" w:hAnsi="Calibri"/>
                    <w:sz w:val="22"/>
                    <w:szCs w:val="22"/>
                    <w:highlight w:val="yellow"/>
                  </w:rPr>
                  <w:t>.2016</w:t>
                </w:r>
                <w:proofErr w:type="gramEnd"/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E1673F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E1673F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Default="009160A9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  <w:r w:rsidRPr="00E1673F">
        <w:rPr>
          <w:noProof/>
        </w:rPr>
        <w:drawing>
          <wp:inline distT="0" distB="0" distL="0" distR="0">
            <wp:extent cx="5760720" cy="808996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Default="00E1673F" w:rsidP="00434EFE">
      <w:pPr>
        <w:jc w:val="both"/>
      </w:pPr>
    </w:p>
    <w:p w:rsidR="00E1673F" w:rsidRPr="00DA21CD" w:rsidRDefault="00E1673F" w:rsidP="00434EFE">
      <w:pPr>
        <w:jc w:val="both"/>
      </w:pPr>
      <w:r w:rsidRPr="00E1673F">
        <w:rPr>
          <w:noProof/>
        </w:rPr>
        <w:drawing>
          <wp:inline distT="0" distB="0" distL="0" distR="0">
            <wp:extent cx="5760720" cy="808996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1673F" w:rsidRPr="00DA21CD" w:rsidSect="00D10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E0" w:rsidRDefault="00FC18E0" w:rsidP="009160A9">
      <w:r>
        <w:separator/>
      </w:r>
    </w:p>
  </w:endnote>
  <w:endnote w:type="continuationSeparator" w:id="0">
    <w:p w:rsidR="00FC18E0" w:rsidRDefault="00FC18E0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E0" w:rsidRDefault="00FC18E0" w:rsidP="009160A9">
      <w:r>
        <w:separator/>
      </w:r>
    </w:p>
  </w:footnote>
  <w:footnote w:type="continuationSeparator" w:id="0">
    <w:p w:rsidR="00FC18E0" w:rsidRDefault="00FC18E0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E1673F" w:rsidP="000D22A1">
    <w:pPr>
      <w:pStyle w:val="Zhlav"/>
      <w:tabs>
        <w:tab w:val="left" w:pos="720"/>
      </w:tabs>
    </w:pPr>
    <w:r>
      <w:tab/>
    </w:r>
    <w:r w:rsidR="000953EC">
      <w:tab/>
    </w:r>
    <w:r w:rsidR="000953EC">
      <w:tab/>
    </w:r>
    <w:r w:rsidR="000953EC"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3E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41C32"/>
    <w:rsid w:val="00077F4F"/>
    <w:rsid w:val="000953EC"/>
    <w:rsid w:val="000A3E5B"/>
    <w:rsid w:val="000C5A29"/>
    <w:rsid w:val="000D22A1"/>
    <w:rsid w:val="000D668F"/>
    <w:rsid w:val="000E4F6A"/>
    <w:rsid w:val="00150DD2"/>
    <w:rsid w:val="0015578A"/>
    <w:rsid w:val="0019414E"/>
    <w:rsid w:val="00197332"/>
    <w:rsid w:val="001B2E48"/>
    <w:rsid w:val="001D7CF4"/>
    <w:rsid w:val="001F2138"/>
    <w:rsid w:val="00212C19"/>
    <w:rsid w:val="002207B6"/>
    <w:rsid w:val="002362B4"/>
    <w:rsid w:val="00287BFD"/>
    <w:rsid w:val="0029507F"/>
    <w:rsid w:val="002C746E"/>
    <w:rsid w:val="00337C61"/>
    <w:rsid w:val="00350127"/>
    <w:rsid w:val="00362F5F"/>
    <w:rsid w:val="003802FF"/>
    <w:rsid w:val="00385E0C"/>
    <w:rsid w:val="003877E6"/>
    <w:rsid w:val="003A724B"/>
    <w:rsid w:val="003E7DF3"/>
    <w:rsid w:val="003F5783"/>
    <w:rsid w:val="0040744C"/>
    <w:rsid w:val="00434EFE"/>
    <w:rsid w:val="004468BD"/>
    <w:rsid w:val="004E154C"/>
    <w:rsid w:val="004E2E3D"/>
    <w:rsid w:val="00511900"/>
    <w:rsid w:val="005216C4"/>
    <w:rsid w:val="00554671"/>
    <w:rsid w:val="00561D05"/>
    <w:rsid w:val="00571BB2"/>
    <w:rsid w:val="005863E8"/>
    <w:rsid w:val="00597898"/>
    <w:rsid w:val="005C44CC"/>
    <w:rsid w:val="005C6B64"/>
    <w:rsid w:val="00637214"/>
    <w:rsid w:val="006A36FD"/>
    <w:rsid w:val="006F5751"/>
    <w:rsid w:val="00723BF3"/>
    <w:rsid w:val="007354A2"/>
    <w:rsid w:val="00745D2C"/>
    <w:rsid w:val="00753F04"/>
    <w:rsid w:val="00780182"/>
    <w:rsid w:val="007B0B31"/>
    <w:rsid w:val="007C267E"/>
    <w:rsid w:val="007C355C"/>
    <w:rsid w:val="00826EC1"/>
    <w:rsid w:val="008351D4"/>
    <w:rsid w:val="00860F63"/>
    <w:rsid w:val="008B18A1"/>
    <w:rsid w:val="008C2EB8"/>
    <w:rsid w:val="008D05E8"/>
    <w:rsid w:val="008D16B1"/>
    <w:rsid w:val="008D4758"/>
    <w:rsid w:val="00915A0F"/>
    <w:rsid w:val="009160A9"/>
    <w:rsid w:val="00917796"/>
    <w:rsid w:val="009243A0"/>
    <w:rsid w:val="00932BD7"/>
    <w:rsid w:val="0094363C"/>
    <w:rsid w:val="009C5940"/>
    <w:rsid w:val="00A10E7C"/>
    <w:rsid w:val="00A61E23"/>
    <w:rsid w:val="00A65BE5"/>
    <w:rsid w:val="00A70854"/>
    <w:rsid w:val="00A90373"/>
    <w:rsid w:val="00A97B51"/>
    <w:rsid w:val="00AB6905"/>
    <w:rsid w:val="00AC70F0"/>
    <w:rsid w:val="00AE5FF2"/>
    <w:rsid w:val="00B07A72"/>
    <w:rsid w:val="00B5056D"/>
    <w:rsid w:val="00B64B2D"/>
    <w:rsid w:val="00B83B67"/>
    <w:rsid w:val="00B84BBD"/>
    <w:rsid w:val="00B96471"/>
    <w:rsid w:val="00BA3175"/>
    <w:rsid w:val="00BB7CFC"/>
    <w:rsid w:val="00BD05FE"/>
    <w:rsid w:val="00BD6336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16BC3"/>
    <w:rsid w:val="00D2380C"/>
    <w:rsid w:val="00D61CC3"/>
    <w:rsid w:val="00D76FBE"/>
    <w:rsid w:val="00DB4E84"/>
    <w:rsid w:val="00DC7880"/>
    <w:rsid w:val="00E12CBF"/>
    <w:rsid w:val="00E1673F"/>
    <w:rsid w:val="00E35D2F"/>
    <w:rsid w:val="00ED04AC"/>
    <w:rsid w:val="00F1516D"/>
    <w:rsid w:val="00F52EC0"/>
    <w:rsid w:val="00F65C44"/>
    <w:rsid w:val="00F92769"/>
    <w:rsid w:val="00FA24DF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AA83DCC6-1344-4AC6-B6B8-260953D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661B1"/>
    <w:rsid w:val="004134CE"/>
    <w:rsid w:val="006A14AD"/>
    <w:rsid w:val="007B2189"/>
    <w:rsid w:val="00841B20"/>
    <w:rsid w:val="00846EF9"/>
    <w:rsid w:val="00A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1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492C-D151-4C82-BBE1-A5C83E1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3465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6</cp:revision>
  <cp:lastPrinted>2016-10-20T10:51:00Z</cp:lastPrinted>
  <dcterms:created xsi:type="dcterms:W3CDTF">2016-10-17T13:34:00Z</dcterms:created>
  <dcterms:modified xsi:type="dcterms:W3CDTF">2017-01-03T09:57:00Z</dcterms:modified>
</cp:coreProperties>
</file>