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DE" w:rsidRPr="0097482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r w:rsidRPr="0097482E">
        <w:rPr>
          <w:rFonts w:ascii="Garamond" w:hAnsi="Garamond"/>
          <w:b/>
          <w:sz w:val="28"/>
          <w:szCs w:val="28"/>
        </w:rPr>
        <w:t xml:space="preserve">Dodatek č. </w:t>
      </w:r>
      <w:r w:rsidR="00254A2A">
        <w:rPr>
          <w:rFonts w:ascii="Garamond" w:hAnsi="Garamond"/>
          <w:b/>
          <w:sz w:val="28"/>
          <w:szCs w:val="28"/>
        </w:rPr>
        <w:t>2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</w:p>
    <w:p w:rsidR="00E077D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r w:rsidRPr="00AD40CC">
        <w:rPr>
          <w:rFonts w:ascii="Garamond" w:hAnsi="Garamond"/>
          <w:b/>
          <w:sz w:val="28"/>
          <w:szCs w:val="28"/>
        </w:rPr>
        <w:t>SMLOUV</w:t>
      </w:r>
      <w:r>
        <w:rPr>
          <w:rFonts w:ascii="Garamond" w:hAnsi="Garamond"/>
          <w:b/>
          <w:sz w:val="28"/>
          <w:szCs w:val="28"/>
        </w:rPr>
        <w:t>Y</w:t>
      </w:r>
      <w:r w:rsidRPr="00AD40CC">
        <w:rPr>
          <w:rFonts w:ascii="Garamond" w:hAnsi="Garamond"/>
          <w:b/>
          <w:sz w:val="28"/>
          <w:szCs w:val="28"/>
        </w:rPr>
        <w:t xml:space="preserve"> </w:t>
      </w:r>
      <w:r w:rsidR="0097482E">
        <w:rPr>
          <w:rFonts w:ascii="Garamond" w:hAnsi="Garamond"/>
          <w:b/>
          <w:sz w:val="28"/>
          <w:szCs w:val="28"/>
        </w:rPr>
        <w:t>O DÍLO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VYHLEDÁVACÍ NÁSTROJ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NEJVYŠŠÍHO SPRÁVNÍHO SOUDU</w:t>
      </w:r>
    </w:p>
    <w:p w:rsidR="00E077DE" w:rsidRPr="00535B6B" w:rsidRDefault="00E077DE" w:rsidP="00E077DE">
      <w:pPr>
        <w:jc w:val="center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ze dne </w:t>
      </w:r>
      <w:proofErr w:type="gramStart"/>
      <w:r>
        <w:rPr>
          <w:rFonts w:ascii="Garamond" w:hAnsi="Garamond"/>
          <w:b/>
          <w:sz w:val="28"/>
          <w:szCs w:val="28"/>
        </w:rPr>
        <w:t>2</w:t>
      </w:r>
      <w:r w:rsidR="0097482E">
        <w:rPr>
          <w:rFonts w:ascii="Garamond" w:hAnsi="Garamond"/>
          <w:b/>
          <w:sz w:val="28"/>
          <w:szCs w:val="28"/>
        </w:rPr>
        <w:t>.5.2019</w:t>
      </w:r>
      <w:proofErr w:type="gramEnd"/>
    </w:p>
    <w:p w:rsidR="00E077DE" w:rsidRPr="00AD40CC" w:rsidRDefault="00E077DE" w:rsidP="00E077DE">
      <w:pPr>
        <w:jc w:val="center"/>
        <w:rPr>
          <w:rFonts w:ascii="Garamond" w:hAnsi="Garamond"/>
        </w:rPr>
      </w:pPr>
    </w:p>
    <w:p w:rsidR="00E077DE" w:rsidRPr="00AD40CC" w:rsidRDefault="00E077DE" w:rsidP="00E077D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uzavřené</w:t>
      </w:r>
      <w:r w:rsidRPr="00AD40CC">
        <w:rPr>
          <w:rFonts w:ascii="Garamond" w:hAnsi="Garamond"/>
          <w:b/>
        </w:rPr>
        <w:t xml:space="preserve"> podle § </w:t>
      </w:r>
      <w:r w:rsidR="0097482E">
        <w:rPr>
          <w:rFonts w:ascii="Garamond" w:hAnsi="Garamond"/>
          <w:b/>
        </w:rPr>
        <w:t>2586</w:t>
      </w:r>
      <w:r>
        <w:rPr>
          <w:rFonts w:ascii="Garamond" w:hAnsi="Garamond"/>
          <w:b/>
        </w:rPr>
        <w:t xml:space="preserve"> </w:t>
      </w:r>
      <w:r w:rsidRPr="00AD40CC">
        <w:rPr>
          <w:rFonts w:ascii="Garamond" w:hAnsi="Garamond"/>
          <w:b/>
        </w:rPr>
        <w:t>a násl. zákona č. 89/2012 Sb., občanského zákoníku</w:t>
      </w:r>
    </w:p>
    <w:p w:rsidR="00E077DE" w:rsidRPr="000D1348" w:rsidRDefault="00E077DE" w:rsidP="00E077DE">
      <w:pPr>
        <w:jc w:val="center"/>
        <w:rPr>
          <w:rFonts w:ascii="Garamond" w:hAnsi="Garamond"/>
        </w:rPr>
      </w:pPr>
      <w:r w:rsidRPr="00AD40CC">
        <w:rPr>
          <w:rFonts w:ascii="Garamond" w:hAnsi="Garamond"/>
          <w:b/>
        </w:rPr>
        <w:t>(dále jen „občanský zákoník“)</w:t>
      </w:r>
    </w:p>
    <w:p w:rsidR="00E077DE" w:rsidRDefault="00E077DE" w:rsidP="00E077DE">
      <w:pPr>
        <w:rPr>
          <w:rFonts w:ascii="Garamond" w:hAnsi="Garamond"/>
          <w:b/>
        </w:rPr>
      </w:pPr>
    </w:p>
    <w:p w:rsidR="003C29BF" w:rsidRDefault="003C29BF" w:rsidP="00E077DE">
      <w:pPr>
        <w:jc w:val="center"/>
        <w:rPr>
          <w:rFonts w:ascii="Garamond" w:hAnsi="Garamond"/>
          <w:b/>
          <w:caps/>
        </w:rPr>
      </w:pPr>
    </w:p>
    <w:p w:rsidR="00E077DE" w:rsidRDefault="00E077DE" w:rsidP="00E077DE">
      <w:pPr>
        <w:jc w:val="center"/>
        <w:rPr>
          <w:rFonts w:ascii="Garamond" w:hAnsi="Garamond"/>
          <w:b/>
          <w:caps/>
        </w:rPr>
      </w:pPr>
      <w:r w:rsidRPr="00F34964">
        <w:rPr>
          <w:rFonts w:ascii="Garamond" w:hAnsi="Garamond"/>
          <w:b/>
          <w:caps/>
        </w:rPr>
        <w:t>Smluvní strany</w:t>
      </w:r>
    </w:p>
    <w:p w:rsidR="00E077DE" w:rsidRPr="00D72D55" w:rsidRDefault="00E077DE" w:rsidP="00E077DE">
      <w:pPr>
        <w:jc w:val="center"/>
        <w:rPr>
          <w:rFonts w:ascii="Garamond" w:hAnsi="Garamond"/>
          <w:b/>
          <w:caps/>
        </w:rPr>
      </w:pPr>
    </w:p>
    <w:p w:rsidR="00E077DE" w:rsidRPr="00D90070" w:rsidRDefault="00E077DE" w:rsidP="00E077DE">
      <w:pPr>
        <w:pStyle w:val="Odstavecseseznamem"/>
        <w:numPr>
          <w:ilvl w:val="0"/>
          <w:numId w:val="2"/>
        </w:numPr>
        <w:tabs>
          <w:tab w:val="left" w:pos="2694"/>
        </w:tabs>
        <w:rPr>
          <w:rFonts w:ascii="Garamond" w:hAnsi="Garamond"/>
          <w:b/>
          <w:sz w:val="24"/>
          <w:szCs w:val="24"/>
        </w:rPr>
      </w:pPr>
      <w:r w:rsidRPr="00D90070">
        <w:rPr>
          <w:rFonts w:ascii="Garamond" w:hAnsi="Garamond"/>
          <w:b/>
          <w:sz w:val="24"/>
          <w:szCs w:val="24"/>
        </w:rPr>
        <w:t xml:space="preserve">Česká </w:t>
      </w:r>
      <w:proofErr w:type="gramStart"/>
      <w:r w:rsidRPr="00D90070">
        <w:rPr>
          <w:rFonts w:ascii="Garamond" w:hAnsi="Garamond"/>
          <w:b/>
          <w:sz w:val="24"/>
          <w:szCs w:val="24"/>
        </w:rPr>
        <w:t>republika  –</w:t>
      </w:r>
      <w:r w:rsidRPr="00D90070">
        <w:rPr>
          <w:rFonts w:ascii="Garamond" w:hAnsi="Garamond"/>
          <w:b/>
          <w:sz w:val="24"/>
          <w:szCs w:val="24"/>
        </w:rPr>
        <w:tab/>
        <w:t>Nejvyšší</w:t>
      </w:r>
      <w:proofErr w:type="gramEnd"/>
      <w:r w:rsidRPr="00D90070">
        <w:rPr>
          <w:rFonts w:ascii="Garamond" w:hAnsi="Garamond"/>
          <w:b/>
          <w:sz w:val="24"/>
          <w:szCs w:val="24"/>
        </w:rPr>
        <w:t xml:space="preserve"> správní soud</w:t>
      </w:r>
    </w:p>
    <w:p w:rsidR="00E077DE" w:rsidRPr="00B171FF" w:rsidRDefault="00E077DE" w:rsidP="00E077DE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Se sídlem:</w:t>
      </w:r>
      <w:r w:rsidRPr="00B171FF">
        <w:rPr>
          <w:rFonts w:ascii="Garamond" w:hAnsi="Garamond"/>
          <w:sz w:val="24"/>
          <w:szCs w:val="24"/>
        </w:rPr>
        <w:tab/>
        <w:t>Moravské náměstí 6, 657 40 Brno</w:t>
      </w:r>
    </w:p>
    <w:p w:rsidR="00E077DE" w:rsidRPr="00B171FF" w:rsidRDefault="00E077DE" w:rsidP="00E077DE">
      <w:pPr>
        <w:pStyle w:val="Zkladntext"/>
        <w:tabs>
          <w:tab w:val="left" w:pos="709"/>
        </w:tabs>
        <w:spacing w:after="0"/>
        <w:ind w:left="2694" w:hanging="3260"/>
        <w:jc w:val="both"/>
        <w:rPr>
          <w:rFonts w:ascii="Garamond" w:hAnsi="Garamond"/>
        </w:rPr>
      </w:pPr>
      <w:r w:rsidRPr="00B171FF">
        <w:rPr>
          <w:rFonts w:ascii="Garamond" w:hAnsi="Garamond"/>
        </w:rPr>
        <w:tab/>
        <w:t>Zastoupen</w:t>
      </w:r>
      <w:r>
        <w:rPr>
          <w:rFonts w:ascii="Garamond" w:hAnsi="Garamond"/>
        </w:rPr>
        <w:t>a</w:t>
      </w:r>
      <w:r w:rsidRPr="00B171FF">
        <w:rPr>
          <w:rFonts w:ascii="Garamond" w:hAnsi="Garamond"/>
        </w:rPr>
        <w:t>:</w:t>
      </w:r>
      <w:r w:rsidRPr="00B171FF">
        <w:rPr>
          <w:rFonts w:ascii="Garamond" w:hAnsi="Garamond"/>
        </w:rPr>
        <w:tab/>
      </w:r>
      <w:r w:rsidR="0097482E">
        <w:rPr>
          <w:rFonts w:ascii="Garamond" w:hAnsi="Garamond"/>
        </w:rPr>
        <w:t xml:space="preserve">Mgr. Filipem </w:t>
      </w:r>
      <w:proofErr w:type="spellStart"/>
      <w:r w:rsidR="0097482E">
        <w:rPr>
          <w:rFonts w:ascii="Garamond" w:hAnsi="Garamond"/>
        </w:rPr>
        <w:t>Glotzmannem</w:t>
      </w:r>
      <w:proofErr w:type="spellEnd"/>
      <w:r w:rsidR="0097482E">
        <w:rPr>
          <w:rFonts w:ascii="Garamond" w:hAnsi="Garamond"/>
        </w:rPr>
        <w:t>, ředitelem správy soudu</w:t>
      </w:r>
    </w:p>
    <w:p w:rsidR="00E077DE" w:rsidRPr="00B171FF" w:rsidRDefault="00E077DE" w:rsidP="00E077DE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>O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  <w:t>75003716</w:t>
      </w:r>
    </w:p>
    <w:p w:rsidR="00E077DE" w:rsidRDefault="00E077DE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</w:t>
      </w:r>
      <w:r>
        <w:rPr>
          <w:rFonts w:ascii="Garamond" w:hAnsi="Garamond"/>
          <w:sz w:val="24"/>
          <w:szCs w:val="24"/>
        </w:rPr>
        <w:tab/>
      </w:r>
      <w:r w:rsidRPr="00520F2F">
        <w:rPr>
          <w:rFonts w:ascii="Garamond" w:hAnsi="Garamond"/>
          <w:sz w:val="24"/>
          <w:szCs w:val="24"/>
        </w:rPr>
        <w:t>není plátce DPH</w:t>
      </w:r>
    </w:p>
    <w:p w:rsidR="00E077DE" w:rsidRPr="00D72D55" w:rsidRDefault="00E077DE" w:rsidP="00E077DE">
      <w:pPr>
        <w:pStyle w:val="Odstavecseseznamem"/>
        <w:tabs>
          <w:tab w:val="left" w:pos="2700"/>
        </w:tabs>
        <w:jc w:val="center"/>
        <w:rPr>
          <w:rFonts w:ascii="Garamond" w:hAnsi="Garamond"/>
          <w:sz w:val="24"/>
          <w:szCs w:val="24"/>
        </w:rPr>
      </w:pPr>
      <w:r w:rsidRPr="000D1348">
        <w:rPr>
          <w:rFonts w:ascii="Garamond" w:hAnsi="Garamond"/>
        </w:rPr>
        <w:t>(dále jen „</w:t>
      </w:r>
      <w:r w:rsidRPr="00F34964">
        <w:rPr>
          <w:rFonts w:ascii="Garamond" w:hAnsi="Garamond"/>
          <w:b/>
        </w:rPr>
        <w:t>objednatel</w:t>
      </w:r>
      <w:r w:rsidRPr="000D1348">
        <w:rPr>
          <w:rFonts w:ascii="Garamond" w:hAnsi="Garamond"/>
        </w:rPr>
        <w:t>“)</w:t>
      </w:r>
    </w:p>
    <w:p w:rsidR="00E077DE" w:rsidRPr="00D72D55" w:rsidRDefault="00E077DE" w:rsidP="00E077DE">
      <w:pPr>
        <w:jc w:val="center"/>
        <w:rPr>
          <w:rFonts w:ascii="Garamond" w:hAnsi="Garamond"/>
          <w:b/>
        </w:rPr>
      </w:pPr>
      <w:r w:rsidRPr="00F34964">
        <w:rPr>
          <w:rFonts w:ascii="Garamond" w:hAnsi="Garamond"/>
          <w:b/>
        </w:rPr>
        <w:t>a</w:t>
      </w:r>
    </w:p>
    <w:p w:rsidR="00E077DE" w:rsidRDefault="0097482E" w:rsidP="00E077DE">
      <w:pPr>
        <w:pStyle w:val="Odstavecseseznamem"/>
        <w:numPr>
          <w:ilvl w:val="0"/>
          <w:numId w:val="2"/>
        </w:numPr>
        <w:tabs>
          <w:tab w:val="left" w:pos="2700"/>
        </w:tabs>
        <w:spacing w:after="0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Good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at</w:t>
      </w:r>
      <w:proofErr w:type="spellEnd"/>
      <w:r>
        <w:rPr>
          <w:rFonts w:ascii="Garamond" w:hAnsi="Garamond"/>
          <w:b/>
          <w:sz w:val="24"/>
          <w:szCs w:val="24"/>
        </w:rPr>
        <w:t xml:space="preserve"> IT.com s.r.o.</w:t>
      </w:r>
    </w:p>
    <w:p w:rsidR="00E077DE" w:rsidRDefault="00E077DE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Se sídlem: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 xml:space="preserve">Rybná 716/24, </w:t>
      </w:r>
      <w:proofErr w:type="gramStart"/>
      <w:r w:rsidR="0097482E">
        <w:rPr>
          <w:rFonts w:ascii="Garamond" w:hAnsi="Garamond"/>
          <w:sz w:val="24"/>
          <w:szCs w:val="24"/>
        </w:rPr>
        <w:t>110 00  Praha</w:t>
      </w:r>
      <w:proofErr w:type="gramEnd"/>
      <w:r w:rsidR="0097482E">
        <w:rPr>
          <w:rFonts w:ascii="Garamond" w:hAnsi="Garamond"/>
          <w:sz w:val="24"/>
          <w:szCs w:val="24"/>
        </w:rPr>
        <w:t xml:space="preserve"> 1</w:t>
      </w:r>
    </w:p>
    <w:p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Zastoupen</w:t>
      </w:r>
      <w:r>
        <w:rPr>
          <w:rFonts w:ascii="Garamond" w:hAnsi="Garamond"/>
          <w:sz w:val="24"/>
          <w:szCs w:val="24"/>
        </w:rPr>
        <w:t>a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>Ing. Petrem Šindelářem</w:t>
      </w:r>
      <w:r w:rsidRPr="00B171FF">
        <w:rPr>
          <w:rFonts w:ascii="Garamond" w:hAnsi="Garamond"/>
          <w:sz w:val="24"/>
          <w:szCs w:val="24"/>
        </w:rPr>
        <w:t xml:space="preserve"> </w:t>
      </w:r>
    </w:p>
    <w:p w:rsidR="00E077DE" w:rsidRDefault="00E077DE" w:rsidP="00E077DE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jc w:val="both"/>
        <w:rPr>
          <w:rFonts w:ascii="Garamond" w:hAnsi="Garamond"/>
        </w:rPr>
      </w:pPr>
      <w:r w:rsidRPr="00B171FF">
        <w:rPr>
          <w:rFonts w:ascii="Garamond" w:hAnsi="Garamond"/>
        </w:rPr>
        <w:t>Subjekt zapsaný u:</w:t>
      </w:r>
      <w:r w:rsidRPr="00B171FF">
        <w:rPr>
          <w:rFonts w:ascii="Garamond" w:hAnsi="Garamond"/>
        </w:rPr>
        <w:tab/>
      </w:r>
      <w:r>
        <w:rPr>
          <w:rFonts w:ascii="Garamond" w:hAnsi="Garamond"/>
        </w:rPr>
        <w:t xml:space="preserve">Městského </w:t>
      </w:r>
      <w:r w:rsidRPr="00B171FF">
        <w:rPr>
          <w:rFonts w:ascii="Garamond" w:hAnsi="Garamond"/>
        </w:rPr>
        <w:t>soudu v </w:t>
      </w:r>
      <w:r>
        <w:rPr>
          <w:rFonts w:ascii="Garamond" w:hAnsi="Garamond"/>
        </w:rPr>
        <w:t>Praze</w:t>
      </w:r>
      <w:r w:rsidRPr="00B171FF">
        <w:rPr>
          <w:rFonts w:ascii="Garamond" w:hAnsi="Garamond"/>
        </w:rPr>
        <w:t xml:space="preserve">, oddíl </w:t>
      </w:r>
      <w:r>
        <w:rPr>
          <w:rFonts w:ascii="Garamond" w:hAnsi="Garamond"/>
        </w:rPr>
        <w:t>B</w:t>
      </w:r>
      <w:r w:rsidRPr="00B171FF">
        <w:rPr>
          <w:rFonts w:ascii="Garamond" w:hAnsi="Garamond"/>
        </w:rPr>
        <w:t xml:space="preserve">, vložka </w:t>
      </w:r>
      <w:r>
        <w:rPr>
          <w:rFonts w:ascii="Garamond" w:hAnsi="Garamond"/>
        </w:rPr>
        <w:t>9659</w:t>
      </w:r>
    </w:p>
    <w:p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>O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>24273881</w:t>
      </w:r>
    </w:p>
    <w:p w:rsidR="00E077DE" w:rsidRPr="00D72D55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DIČ: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>CZ24273881</w:t>
      </w:r>
    </w:p>
    <w:p w:rsidR="00E077DE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  <w:r w:rsidRPr="000D1348">
        <w:rPr>
          <w:rFonts w:ascii="Garamond" w:hAnsi="Garamond"/>
        </w:rPr>
        <w:t>(dále jen „</w:t>
      </w:r>
      <w:r w:rsidR="0097482E">
        <w:rPr>
          <w:rFonts w:ascii="Garamond" w:hAnsi="Garamond"/>
          <w:b/>
        </w:rPr>
        <w:t>zhotovitel</w:t>
      </w:r>
      <w:r w:rsidRPr="000D1348">
        <w:rPr>
          <w:rFonts w:ascii="Garamond" w:hAnsi="Garamond"/>
        </w:rPr>
        <w:t>“)</w:t>
      </w:r>
    </w:p>
    <w:p w:rsidR="00E077DE" w:rsidRPr="000D1348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</w:p>
    <w:p w:rsidR="0097482E" w:rsidRDefault="003C29BF" w:rsidP="003C29B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7482E" w:rsidRPr="003C29BF">
        <w:rPr>
          <w:rFonts w:ascii="Garamond" w:hAnsi="Garamond"/>
          <w:b/>
        </w:rPr>
        <w:t> </w:t>
      </w:r>
      <w:r w:rsidR="007D35CB">
        <w:rPr>
          <w:rFonts w:ascii="Garamond" w:hAnsi="Garamond"/>
          <w:b/>
        </w:rPr>
        <w:t>souladu s </w:t>
      </w:r>
      <w:proofErr w:type="spellStart"/>
      <w:r w:rsidR="007D35CB">
        <w:rPr>
          <w:rFonts w:ascii="Garamond" w:hAnsi="Garamond"/>
          <w:b/>
        </w:rPr>
        <w:t>ust</w:t>
      </w:r>
      <w:proofErr w:type="spellEnd"/>
      <w:r w:rsidR="007D35CB">
        <w:rPr>
          <w:rFonts w:ascii="Garamond" w:hAnsi="Garamond"/>
          <w:b/>
        </w:rPr>
        <w:t xml:space="preserve">. § 222 odst. </w:t>
      </w:r>
      <w:r>
        <w:rPr>
          <w:rFonts w:ascii="Garamond" w:hAnsi="Garamond"/>
          <w:b/>
        </w:rPr>
        <w:t>5</w:t>
      </w:r>
      <w:r w:rsidR="0097482E" w:rsidRPr="003C29BF">
        <w:rPr>
          <w:rFonts w:ascii="Garamond" w:hAnsi="Garamond"/>
          <w:b/>
        </w:rPr>
        <w:t xml:space="preserve"> z.</w:t>
      </w:r>
      <w:r w:rsidR="007D35CB">
        <w:rPr>
          <w:rFonts w:ascii="Garamond" w:hAnsi="Garamond"/>
          <w:b/>
        </w:rPr>
        <w:t xml:space="preserve"> </w:t>
      </w:r>
      <w:proofErr w:type="gramStart"/>
      <w:r w:rsidR="0097482E" w:rsidRPr="003C29BF">
        <w:rPr>
          <w:rFonts w:ascii="Garamond" w:hAnsi="Garamond"/>
          <w:b/>
        </w:rPr>
        <w:t>č.</w:t>
      </w:r>
      <w:proofErr w:type="gramEnd"/>
      <w:r w:rsidR="0097482E" w:rsidRPr="003C29BF">
        <w:rPr>
          <w:rFonts w:ascii="Garamond" w:hAnsi="Garamond"/>
          <w:b/>
        </w:rPr>
        <w:t xml:space="preserve"> 134/2016 Sb., o zadávání veřejných zakáz</w:t>
      </w:r>
      <w:r w:rsidR="007D35CB">
        <w:rPr>
          <w:rFonts w:ascii="Garamond" w:hAnsi="Garamond"/>
          <w:b/>
        </w:rPr>
        <w:t xml:space="preserve">ek, </w:t>
      </w:r>
      <w:r>
        <w:rPr>
          <w:rFonts w:ascii="Garamond" w:hAnsi="Garamond"/>
          <w:b/>
        </w:rPr>
        <w:t xml:space="preserve">a </w:t>
      </w:r>
      <w:r w:rsidR="0097482E" w:rsidRPr="003C29BF">
        <w:rPr>
          <w:rFonts w:ascii="Garamond" w:hAnsi="Garamond"/>
          <w:b/>
        </w:rPr>
        <w:t>v souladu s </w:t>
      </w:r>
      <w:proofErr w:type="spellStart"/>
      <w:r w:rsidR="0097482E" w:rsidRPr="003C29BF">
        <w:rPr>
          <w:rFonts w:ascii="Garamond" w:hAnsi="Garamond"/>
          <w:b/>
        </w:rPr>
        <w:t>ust</w:t>
      </w:r>
      <w:proofErr w:type="spellEnd"/>
      <w:r w:rsidR="0097482E" w:rsidRPr="003C29BF">
        <w:rPr>
          <w:rFonts w:ascii="Garamond" w:hAnsi="Garamond"/>
          <w:b/>
        </w:rPr>
        <w:t xml:space="preserve">. § 13 odst. 5 Instrukce Ministerstva spravedlnosti </w:t>
      </w:r>
      <w:proofErr w:type="gramStart"/>
      <w:r w:rsidR="0097482E" w:rsidRPr="003C29BF">
        <w:rPr>
          <w:rFonts w:ascii="Garamond" w:hAnsi="Garamond"/>
          <w:b/>
        </w:rPr>
        <w:t>č.j.</w:t>
      </w:r>
      <w:proofErr w:type="gramEnd"/>
      <w:r w:rsidR="0097482E" w:rsidRPr="003C29BF">
        <w:rPr>
          <w:rFonts w:ascii="Garamond" w:hAnsi="Garamond"/>
          <w:b/>
        </w:rPr>
        <w:t xml:space="preserve"> MSP-89/2017-OPR-Z, o zadávání veřejných zakázek v resortu Ministerstva spravedlnosti, ve</w:t>
      </w:r>
      <w:r w:rsidR="007D35CB">
        <w:rPr>
          <w:rFonts w:ascii="Garamond" w:hAnsi="Garamond"/>
          <w:b/>
        </w:rPr>
        <w:t xml:space="preserve"> znění pozdějších předpisů</w:t>
      </w:r>
    </w:p>
    <w:p w:rsidR="003C29BF" w:rsidRPr="003C29BF" w:rsidRDefault="003C29BF" w:rsidP="003C29BF">
      <w:pPr>
        <w:jc w:val="both"/>
        <w:rPr>
          <w:rFonts w:ascii="Garamond" w:hAnsi="Garamond"/>
          <w:b/>
        </w:rPr>
      </w:pPr>
    </w:p>
    <w:p w:rsidR="003C29BF" w:rsidRDefault="00E077DE" w:rsidP="0097482E">
      <w:pPr>
        <w:jc w:val="center"/>
        <w:rPr>
          <w:rFonts w:ascii="Garamond" w:hAnsi="Garamond"/>
          <w:b/>
        </w:rPr>
      </w:pPr>
      <w:r w:rsidRPr="000D1348">
        <w:rPr>
          <w:rFonts w:ascii="Garamond" w:hAnsi="Garamond"/>
          <w:b/>
        </w:rPr>
        <w:t xml:space="preserve">uzavřely </w:t>
      </w:r>
      <w:r w:rsidR="003C29BF">
        <w:rPr>
          <w:rFonts w:ascii="Garamond" w:hAnsi="Garamond"/>
          <w:b/>
        </w:rPr>
        <w:t xml:space="preserve">smluvní strany </w:t>
      </w:r>
      <w:r w:rsidRPr="00511B3D">
        <w:rPr>
          <w:rFonts w:ascii="Garamond" w:hAnsi="Garamond"/>
          <w:b/>
        </w:rPr>
        <w:t xml:space="preserve">níže uvedeného dne, měsíce a roku </w:t>
      </w:r>
      <w:r w:rsidR="0097482E">
        <w:rPr>
          <w:rFonts w:ascii="Garamond" w:hAnsi="Garamond"/>
          <w:b/>
        </w:rPr>
        <w:t xml:space="preserve">tento </w:t>
      </w:r>
    </w:p>
    <w:p w:rsidR="00E077DE" w:rsidRPr="0097482E" w:rsidRDefault="00E077DE" w:rsidP="0097482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dodatek </w:t>
      </w:r>
      <w:r w:rsidR="0097482E">
        <w:rPr>
          <w:rFonts w:ascii="Garamond" w:hAnsi="Garamond"/>
          <w:b/>
        </w:rPr>
        <w:t xml:space="preserve">č. </w:t>
      </w:r>
      <w:r w:rsidR="00254A2A">
        <w:rPr>
          <w:rFonts w:ascii="Garamond" w:hAnsi="Garamond"/>
          <w:b/>
        </w:rPr>
        <w:t>2</w:t>
      </w:r>
      <w:r w:rsidR="0097482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ke smlouvě</w:t>
      </w:r>
      <w:r w:rsidRPr="000D1348">
        <w:rPr>
          <w:rFonts w:ascii="Garamond" w:hAnsi="Garamond"/>
        </w:rPr>
        <w:t>:</w:t>
      </w:r>
    </w:p>
    <w:p w:rsidR="00E077DE" w:rsidRPr="000D1348" w:rsidRDefault="00E077DE" w:rsidP="00E077DE">
      <w:pPr>
        <w:jc w:val="both"/>
        <w:rPr>
          <w:rFonts w:ascii="Garamond" w:hAnsi="Garamond"/>
        </w:rPr>
      </w:pPr>
    </w:p>
    <w:p w:rsidR="00E077DE" w:rsidRDefault="0070689F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Tímto dodatkem se mění</w:t>
      </w:r>
      <w:r w:rsidR="00E077DE">
        <w:rPr>
          <w:rFonts w:ascii="Garamond" w:hAnsi="Garamond"/>
        </w:rPr>
        <w:t xml:space="preserve"> smlouva uzavřená mezi smluvními stranami.</w:t>
      </w:r>
    </w:p>
    <w:p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Všechna ostatní ustanovení smlouvy, která nejsou upravována tímto dodatkem, zůstávají v platnosti.</w:t>
      </w:r>
    </w:p>
    <w:p w:rsidR="00E077DE" w:rsidRDefault="0070689F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Předmět, rozsah plnění a </w:t>
      </w:r>
      <w:r w:rsidR="00E077DE">
        <w:rPr>
          <w:rFonts w:ascii="Garamond" w:hAnsi="Garamond"/>
        </w:rPr>
        <w:t>cena předmětu zůstávají beze změny.</w:t>
      </w:r>
    </w:p>
    <w:p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401164">
        <w:rPr>
          <w:rFonts w:ascii="Garamond" w:hAnsi="Garamond"/>
        </w:rPr>
        <w:t xml:space="preserve">Smluvní strany se dohodly na úpravě </w:t>
      </w:r>
      <w:r w:rsidR="00D55A65">
        <w:rPr>
          <w:rFonts w:ascii="Garamond" w:hAnsi="Garamond"/>
        </w:rPr>
        <w:t>smlouvy, jak je dále uvedeno</w:t>
      </w:r>
      <w:r>
        <w:rPr>
          <w:rFonts w:ascii="Garamond" w:hAnsi="Garamond"/>
        </w:rPr>
        <w:t>:</w:t>
      </w:r>
    </w:p>
    <w:p w:rsidR="003C29BF" w:rsidRDefault="003C29BF" w:rsidP="003C29BF">
      <w:pPr>
        <w:jc w:val="both"/>
        <w:rPr>
          <w:rFonts w:ascii="Garamond" w:hAnsi="Garamond"/>
        </w:rPr>
      </w:pPr>
    </w:p>
    <w:p w:rsidR="003C29BF" w:rsidRDefault="003C29BF" w:rsidP="003C29BF">
      <w:pPr>
        <w:jc w:val="both"/>
        <w:rPr>
          <w:rFonts w:ascii="Garamond" w:hAnsi="Garamond"/>
        </w:rPr>
      </w:pPr>
    </w:p>
    <w:p w:rsidR="00E077DE" w:rsidRDefault="007D35CB" w:rsidP="007D35CB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Č</w:t>
      </w:r>
      <w:r w:rsidR="003C29BF">
        <w:rPr>
          <w:rFonts w:ascii="Garamond" w:hAnsi="Garamond"/>
          <w:b/>
        </w:rPr>
        <w:t>lánek IV</w:t>
      </w:r>
      <w:r w:rsidR="00E077DE" w:rsidRPr="00995D99">
        <w:rPr>
          <w:rFonts w:ascii="Garamond" w:hAnsi="Garamond"/>
          <w:b/>
        </w:rPr>
        <w:t xml:space="preserve">. </w:t>
      </w:r>
      <w:r w:rsidR="003C29BF">
        <w:rPr>
          <w:rFonts w:ascii="Garamond" w:hAnsi="Garamond"/>
          <w:b/>
        </w:rPr>
        <w:t>Doba a místo provedení díla</w:t>
      </w:r>
      <w:r w:rsidR="00E077DE">
        <w:rPr>
          <w:rFonts w:ascii="Garamond" w:hAnsi="Garamond"/>
          <w:b/>
        </w:rPr>
        <w:t xml:space="preserve">, </w:t>
      </w:r>
      <w:r w:rsidR="003C29BF">
        <w:rPr>
          <w:rFonts w:ascii="Garamond" w:hAnsi="Garamond"/>
          <w:b/>
        </w:rPr>
        <w:t>odst. 1</w:t>
      </w:r>
      <w:r w:rsidR="00E077DE">
        <w:rPr>
          <w:rFonts w:ascii="Garamond" w:hAnsi="Garamond"/>
          <w:b/>
        </w:rPr>
        <w:t xml:space="preserve"> </w:t>
      </w:r>
      <w:r w:rsidR="00E077DE">
        <w:rPr>
          <w:rFonts w:ascii="Garamond" w:hAnsi="Garamond"/>
        </w:rPr>
        <w:t>Smlouvy – nové znění článku je následující:</w:t>
      </w:r>
    </w:p>
    <w:p w:rsidR="003C29BF" w:rsidRPr="003C29BF" w:rsidRDefault="003C29BF" w:rsidP="003C29BF">
      <w:pPr>
        <w:ind w:left="720"/>
        <w:jc w:val="both"/>
        <w:rPr>
          <w:rFonts w:ascii="Garamond" w:hAnsi="Garamond"/>
        </w:rPr>
      </w:pPr>
    </w:p>
    <w:p w:rsidR="0003399D" w:rsidRDefault="003C29BF" w:rsidP="0003399D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/>
          <w:i/>
          <w:sz w:val="24"/>
          <w:szCs w:val="24"/>
        </w:rPr>
      </w:pPr>
      <w:r w:rsidRPr="003C29BF">
        <w:rPr>
          <w:rFonts w:ascii="Garamond" w:hAnsi="Garamond"/>
          <w:i/>
          <w:sz w:val="24"/>
          <w:szCs w:val="24"/>
        </w:rPr>
        <w:t>Zhotovitel se zavazuje provést DÍLO tak, aby bylo dokončeno a předmět DÍLA byl akceptován bez výhrad jako celek</w:t>
      </w:r>
      <w:r w:rsidRPr="003C29BF">
        <w:rPr>
          <w:rFonts w:ascii="Garamond" w:hAnsi="Garamond"/>
          <w:b/>
          <w:i/>
          <w:sz w:val="24"/>
          <w:szCs w:val="24"/>
        </w:rPr>
        <w:t xml:space="preserve"> nejpozději do </w:t>
      </w:r>
      <w:r w:rsidR="00D55A65">
        <w:rPr>
          <w:rFonts w:ascii="Garamond" w:hAnsi="Garamond"/>
          <w:b/>
          <w:i/>
          <w:sz w:val="24"/>
          <w:szCs w:val="24"/>
        </w:rPr>
        <w:t>220</w:t>
      </w:r>
      <w:r w:rsidRPr="003C29BF">
        <w:rPr>
          <w:rFonts w:ascii="Garamond" w:hAnsi="Garamond"/>
          <w:b/>
          <w:i/>
          <w:sz w:val="24"/>
          <w:szCs w:val="24"/>
        </w:rPr>
        <w:t xml:space="preserve"> dnů od účinnosti této smlouvy.</w:t>
      </w:r>
    </w:p>
    <w:p w:rsidR="0003399D" w:rsidRPr="0003399D" w:rsidRDefault="0003399D" w:rsidP="0003399D">
      <w:pPr>
        <w:pStyle w:val="Odstavecseseznamem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  <w:t>1.1</w:t>
      </w:r>
      <w:bookmarkStart w:id="0" w:name="_GoBack"/>
      <w:bookmarkEnd w:id="0"/>
    </w:p>
    <w:p w:rsidR="003C29BF" w:rsidRDefault="003C29BF" w:rsidP="0027719E">
      <w:pPr>
        <w:jc w:val="both"/>
        <w:rPr>
          <w:rFonts w:ascii="Garamond" w:hAnsi="Garamond"/>
          <w:b/>
          <w:i/>
        </w:rPr>
      </w:pPr>
    </w:p>
    <w:p w:rsidR="0027719E" w:rsidRPr="0027719E" w:rsidRDefault="0027719E" w:rsidP="0027719E">
      <w:pPr>
        <w:jc w:val="both"/>
        <w:rPr>
          <w:rFonts w:ascii="Garamond" w:hAnsi="Garamond"/>
          <w:b/>
          <w:i/>
        </w:rPr>
      </w:pPr>
    </w:p>
    <w:p w:rsidR="003C29BF" w:rsidRDefault="00D55A65" w:rsidP="003C29BF">
      <w:pPr>
        <w:ind w:left="360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>Článek IV</w:t>
      </w:r>
      <w:r w:rsidRPr="00995D99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 xml:space="preserve">Doba a místo provedení díla </w:t>
      </w:r>
      <w:r>
        <w:rPr>
          <w:rFonts w:ascii="Garamond" w:hAnsi="Garamond"/>
          <w:bCs/>
        </w:rPr>
        <w:t xml:space="preserve">se </w:t>
      </w:r>
      <w:r w:rsidR="007B70E7">
        <w:rPr>
          <w:rFonts w:ascii="Garamond" w:hAnsi="Garamond"/>
          <w:bCs/>
        </w:rPr>
        <w:t>za text</w:t>
      </w:r>
      <w:r w:rsidR="00BB0775">
        <w:rPr>
          <w:rFonts w:ascii="Garamond" w:hAnsi="Garamond"/>
          <w:bCs/>
        </w:rPr>
        <w:t>em</w:t>
      </w:r>
      <w:r w:rsidR="007B70E7">
        <w:rPr>
          <w:rFonts w:ascii="Garamond" w:hAnsi="Garamond"/>
          <w:bCs/>
        </w:rPr>
        <w:t xml:space="preserve"> odst. 1.4 </w:t>
      </w:r>
      <w:r>
        <w:rPr>
          <w:rFonts w:ascii="Garamond" w:hAnsi="Garamond"/>
          <w:bCs/>
        </w:rPr>
        <w:t>doplňuje o nový odstavec č. 2, který zní:</w:t>
      </w:r>
    </w:p>
    <w:p w:rsidR="00D55A65" w:rsidRDefault="00BB0775" w:rsidP="003C29BF">
      <w:pPr>
        <w:ind w:left="360"/>
        <w:contextualSpacing/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2. </w:t>
      </w:r>
      <w:r w:rsidR="00D55A65">
        <w:rPr>
          <w:rFonts w:ascii="Garamond" w:hAnsi="Garamond"/>
          <w:bCs/>
          <w:i/>
          <w:iCs/>
        </w:rPr>
        <w:t xml:space="preserve">Strany smlouvy se dohodly na pozastavení provádění </w:t>
      </w:r>
      <w:r>
        <w:rPr>
          <w:rFonts w:ascii="Garamond" w:hAnsi="Garamond"/>
          <w:bCs/>
          <w:i/>
          <w:iCs/>
        </w:rPr>
        <w:t>DÍLA</w:t>
      </w:r>
      <w:r w:rsidR="00D55A65">
        <w:rPr>
          <w:rFonts w:ascii="Garamond" w:hAnsi="Garamond"/>
          <w:bCs/>
          <w:i/>
          <w:iCs/>
        </w:rPr>
        <w:t xml:space="preserve"> </w:t>
      </w:r>
      <w:r w:rsidR="000D50D2">
        <w:rPr>
          <w:rFonts w:ascii="Garamond" w:hAnsi="Garamond"/>
          <w:bCs/>
          <w:i/>
          <w:iCs/>
        </w:rPr>
        <w:t xml:space="preserve">ze strany zhotovitele </w:t>
      </w:r>
      <w:r w:rsidR="00D55A65">
        <w:rPr>
          <w:rFonts w:ascii="Garamond" w:hAnsi="Garamond"/>
          <w:bCs/>
          <w:i/>
          <w:iCs/>
        </w:rPr>
        <w:t xml:space="preserve">na dobu 30 dnů počínaje dnem </w:t>
      </w:r>
      <w:proofErr w:type="gramStart"/>
      <w:r w:rsidR="00D55A65">
        <w:rPr>
          <w:rFonts w:ascii="Garamond" w:hAnsi="Garamond"/>
          <w:bCs/>
          <w:i/>
          <w:iCs/>
        </w:rPr>
        <w:t>3.10.2019</w:t>
      </w:r>
      <w:proofErr w:type="gramEnd"/>
      <w:r w:rsidR="00D55A65">
        <w:rPr>
          <w:rFonts w:ascii="Garamond" w:hAnsi="Garamond"/>
          <w:bCs/>
          <w:i/>
          <w:iCs/>
        </w:rPr>
        <w:t xml:space="preserve">. Doba pozastavení provádění </w:t>
      </w:r>
      <w:r>
        <w:rPr>
          <w:rFonts w:ascii="Garamond" w:hAnsi="Garamond"/>
          <w:bCs/>
          <w:i/>
          <w:iCs/>
        </w:rPr>
        <w:t xml:space="preserve">DÍLA </w:t>
      </w:r>
      <w:r w:rsidR="00D55A65">
        <w:rPr>
          <w:rFonts w:ascii="Garamond" w:hAnsi="Garamond"/>
          <w:bCs/>
          <w:i/>
          <w:iCs/>
        </w:rPr>
        <w:t xml:space="preserve">se </w:t>
      </w:r>
      <w:r w:rsidR="007B70E7">
        <w:rPr>
          <w:rFonts w:ascii="Garamond" w:hAnsi="Garamond"/>
          <w:bCs/>
          <w:i/>
          <w:iCs/>
        </w:rPr>
        <w:t xml:space="preserve">do sjednané doby předání </w:t>
      </w:r>
      <w:r>
        <w:rPr>
          <w:rFonts w:ascii="Garamond" w:hAnsi="Garamond"/>
          <w:bCs/>
          <w:i/>
          <w:iCs/>
        </w:rPr>
        <w:t>DÍLA</w:t>
      </w:r>
      <w:r w:rsidR="007B70E7">
        <w:rPr>
          <w:rFonts w:ascii="Garamond" w:hAnsi="Garamond"/>
          <w:bCs/>
          <w:i/>
          <w:iCs/>
        </w:rPr>
        <w:t xml:space="preserve"> dle odst. 1. tohoto článku nezapočítává a doba plnění se tedy o sjednanou dobu přerušení provádění </w:t>
      </w:r>
      <w:r>
        <w:rPr>
          <w:rFonts w:ascii="Garamond" w:hAnsi="Garamond"/>
          <w:bCs/>
          <w:i/>
          <w:iCs/>
        </w:rPr>
        <w:t>DÍLA</w:t>
      </w:r>
      <w:r w:rsidR="007B70E7">
        <w:rPr>
          <w:rFonts w:ascii="Garamond" w:hAnsi="Garamond"/>
          <w:bCs/>
          <w:i/>
          <w:iCs/>
        </w:rPr>
        <w:t xml:space="preserve"> prodlužuje. </w:t>
      </w:r>
    </w:p>
    <w:p w:rsidR="007B70E7" w:rsidRDefault="007B70E7" w:rsidP="003C29BF">
      <w:pPr>
        <w:ind w:left="360"/>
        <w:contextualSpacing/>
        <w:jc w:val="both"/>
        <w:rPr>
          <w:rFonts w:ascii="Garamond" w:hAnsi="Garamond"/>
          <w:bCs/>
          <w:i/>
          <w:iCs/>
        </w:rPr>
      </w:pPr>
    </w:p>
    <w:p w:rsidR="007B70E7" w:rsidRDefault="007B70E7" w:rsidP="003C29BF">
      <w:pPr>
        <w:ind w:left="360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 </w:t>
      </w:r>
      <w:r>
        <w:rPr>
          <w:rFonts w:ascii="Garamond" w:hAnsi="Garamond"/>
          <w:b/>
        </w:rPr>
        <w:t>Článku IV</w:t>
      </w:r>
      <w:r w:rsidRPr="00995D99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 xml:space="preserve">Doba a místo provedení díla </w:t>
      </w:r>
      <w:r>
        <w:rPr>
          <w:rFonts w:ascii="Garamond" w:hAnsi="Garamond"/>
          <w:bCs/>
        </w:rPr>
        <w:t>se dosavadní odst. 2 nově označuje jako odst.</w:t>
      </w:r>
      <w:r w:rsidR="00BB0775">
        <w:rPr>
          <w:rFonts w:ascii="Garamond" w:hAnsi="Garamond"/>
          <w:bCs/>
        </w:rPr>
        <w:t> </w:t>
      </w:r>
      <w:r>
        <w:rPr>
          <w:rFonts w:ascii="Garamond" w:hAnsi="Garamond"/>
          <w:bCs/>
        </w:rPr>
        <w:t xml:space="preserve">3. </w:t>
      </w:r>
    </w:p>
    <w:p w:rsidR="00BB0775" w:rsidRDefault="00BB0775" w:rsidP="003C29BF">
      <w:pPr>
        <w:ind w:left="360"/>
        <w:contextualSpacing/>
        <w:jc w:val="both"/>
        <w:rPr>
          <w:rFonts w:ascii="Garamond" w:hAnsi="Garamond"/>
          <w:bCs/>
        </w:rPr>
      </w:pPr>
    </w:p>
    <w:p w:rsidR="00BB0775" w:rsidRDefault="00BB0775" w:rsidP="003C29BF">
      <w:pPr>
        <w:ind w:left="360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>Článek V</w:t>
      </w:r>
      <w:r w:rsidRPr="00995D99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 xml:space="preserve">Cena díla </w:t>
      </w:r>
      <w:r>
        <w:rPr>
          <w:rFonts w:ascii="Garamond" w:hAnsi="Garamond"/>
          <w:bCs/>
        </w:rPr>
        <w:t>odst. 4 se ruší a nahrazuje se novým zněním, které je následující:</w:t>
      </w:r>
    </w:p>
    <w:p w:rsidR="00BB0775" w:rsidRDefault="00BB0775" w:rsidP="003C29BF">
      <w:pPr>
        <w:ind w:left="360"/>
        <w:contextualSpacing/>
        <w:jc w:val="both"/>
        <w:rPr>
          <w:rFonts w:ascii="Garamond" w:hAnsi="Garamond"/>
          <w:bCs/>
          <w:i/>
          <w:iCs/>
        </w:rPr>
      </w:pPr>
      <w:r w:rsidRPr="00BB0775">
        <w:rPr>
          <w:rFonts w:ascii="Garamond" w:hAnsi="Garamond"/>
          <w:bCs/>
          <w:i/>
          <w:iCs/>
        </w:rPr>
        <w:t>4.</w:t>
      </w:r>
      <w:r w:rsidRPr="00BB0775">
        <w:rPr>
          <w:rFonts w:ascii="Garamond" w:hAnsi="Garamond"/>
          <w:bCs/>
          <w:i/>
          <w:iCs/>
        </w:rPr>
        <w:tab/>
        <w:t xml:space="preserve">Zhotoviteli vzniká právo na zaplacení ceny </w:t>
      </w:r>
      <w:r>
        <w:rPr>
          <w:rFonts w:ascii="Garamond" w:hAnsi="Garamond"/>
          <w:bCs/>
          <w:i/>
          <w:iCs/>
        </w:rPr>
        <w:t>DÍLA ve dvou platbách, a to:</w:t>
      </w:r>
    </w:p>
    <w:p w:rsidR="00BB0775" w:rsidRPr="0027719E" w:rsidRDefault="007305CD" w:rsidP="009F0B2D">
      <w:pPr>
        <w:ind w:left="708"/>
        <w:contextualSpacing/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>4</w:t>
      </w:r>
      <w:r w:rsidR="00BB0775">
        <w:rPr>
          <w:rFonts w:ascii="Garamond" w:hAnsi="Garamond"/>
          <w:bCs/>
          <w:i/>
          <w:iCs/>
        </w:rPr>
        <w:t xml:space="preserve">.4 </w:t>
      </w:r>
      <w:r w:rsidR="00BB0775" w:rsidRPr="00BB0775">
        <w:rPr>
          <w:rFonts w:ascii="Garamond" w:hAnsi="Garamond"/>
          <w:bCs/>
          <w:i/>
          <w:iCs/>
        </w:rPr>
        <w:t>po provedení</w:t>
      </w:r>
      <w:r>
        <w:rPr>
          <w:rFonts w:ascii="Garamond" w:hAnsi="Garamond"/>
          <w:bCs/>
          <w:i/>
          <w:iCs/>
        </w:rPr>
        <w:t xml:space="preserve">, </w:t>
      </w:r>
      <w:r w:rsidR="00BB0775">
        <w:rPr>
          <w:rFonts w:ascii="Garamond" w:hAnsi="Garamond"/>
          <w:bCs/>
          <w:i/>
          <w:iCs/>
        </w:rPr>
        <w:t>předání</w:t>
      </w:r>
      <w:r>
        <w:rPr>
          <w:rFonts w:ascii="Garamond" w:hAnsi="Garamond"/>
          <w:bCs/>
          <w:i/>
          <w:iCs/>
        </w:rPr>
        <w:t xml:space="preserve"> a převzetí</w:t>
      </w:r>
      <w:r w:rsidR="00BB0775">
        <w:rPr>
          <w:rFonts w:ascii="Garamond" w:hAnsi="Garamond"/>
          <w:bCs/>
          <w:i/>
          <w:iCs/>
        </w:rPr>
        <w:t xml:space="preserve"> první (pilotní) verze </w:t>
      </w:r>
      <w:r w:rsidR="00BB0775" w:rsidRPr="00BB0775">
        <w:rPr>
          <w:rFonts w:ascii="Garamond" w:hAnsi="Garamond"/>
          <w:bCs/>
          <w:i/>
          <w:iCs/>
        </w:rPr>
        <w:t>DÍLA</w:t>
      </w:r>
      <w:r w:rsidR="008447C6">
        <w:rPr>
          <w:rFonts w:ascii="Garamond" w:hAnsi="Garamond"/>
          <w:bCs/>
          <w:i/>
          <w:iCs/>
        </w:rPr>
        <w:t xml:space="preserve">, ať s </w:t>
      </w:r>
      <w:r w:rsidR="00E53A9F">
        <w:rPr>
          <w:rFonts w:ascii="Garamond" w:hAnsi="Garamond"/>
          <w:bCs/>
          <w:i/>
          <w:iCs/>
        </w:rPr>
        <w:t>výhradou</w:t>
      </w:r>
      <w:r w:rsidR="008447C6">
        <w:rPr>
          <w:rFonts w:ascii="Garamond" w:hAnsi="Garamond"/>
          <w:bCs/>
          <w:i/>
          <w:iCs/>
        </w:rPr>
        <w:t xml:space="preserve"> nebo bez výhrad, </w:t>
      </w:r>
      <w:r w:rsidR="00E30E1A">
        <w:rPr>
          <w:rFonts w:ascii="Garamond" w:hAnsi="Garamond"/>
          <w:bCs/>
          <w:i/>
          <w:iCs/>
        </w:rPr>
        <w:t>vzniká </w:t>
      </w:r>
      <w:r w:rsidR="009F0B2D">
        <w:rPr>
          <w:rFonts w:ascii="Garamond" w:hAnsi="Garamond"/>
          <w:bCs/>
          <w:i/>
          <w:iCs/>
        </w:rPr>
        <w:t xml:space="preserve">zhotoviteli právo na zaplacení části ceny </w:t>
      </w:r>
      <w:r w:rsidR="009F0B2D" w:rsidRPr="0027719E">
        <w:rPr>
          <w:rFonts w:ascii="Garamond" w:hAnsi="Garamond"/>
          <w:bCs/>
          <w:i/>
          <w:iCs/>
        </w:rPr>
        <w:t>ve výši</w:t>
      </w:r>
      <w:r w:rsidR="000D50D2" w:rsidRPr="0027719E">
        <w:rPr>
          <w:rFonts w:ascii="Garamond" w:hAnsi="Garamond"/>
          <w:bCs/>
          <w:i/>
          <w:iCs/>
        </w:rPr>
        <w:t xml:space="preserve"> 746</w:t>
      </w:r>
      <w:r w:rsidR="001E3F7F">
        <w:rPr>
          <w:rFonts w:ascii="Garamond" w:hAnsi="Garamond"/>
          <w:bCs/>
          <w:i/>
          <w:iCs/>
        </w:rPr>
        <w:t> </w:t>
      </w:r>
      <w:r w:rsidR="000D50D2" w:rsidRPr="0027719E">
        <w:rPr>
          <w:rFonts w:ascii="Garamond" w:hAnsi="Garamond"/>
          <w:bCs/>
          <w:i/>
          <w:iCs/>
        </w:rPr>
        <w:t>250</w:t>
      </w:r>
      <w:r w:rsidR="009F0B2D" w:rsidRPr="0027719E">
        <w:rPr>
          <w:rFonts w:ascii="Garamond" w:hAnsi="Garamond"/>
          <w:bCs/>
          <w:i/>
          <w:iCs/>
        </w:rPr>
        <w:t xml:space="preserve">Kč bez DPH, </w:t>
      </w:r>
      <w:r w:rsidR="000D50D2" w:rsidRPr="0027719E">
        <w:rPr>
          <w:rFonts w:ascii="Garamond" w:hAnsi="Garamond"/>
          <w:bCs/>
          <w:i/>
          <w:iCs/>
        </w:rPr>
        <w:t>902 962,50</w:t>
      </w:r>
      <w:r w:rsidR="009F0B2D" w:rsidRPr="0027719E">
        <w:rPr>
          <w:rFonts w:ascii="Garamond" w:hAnsi="Garamond"/>
          <w:bCs/>
          <w:i/>
          <w:iCs/>
        </w:rPr>
        <w:t xml:space="preserve"> Kč vč. DPH 21%; </w:t>
      </w:r>
    </w:p>
    <w:p w:rsidR="00BB0775" w:rsidRPr="0027719E" w:rsidRDefault="007305CD" w:rsidP="009F0B2D">
      <w:pPr>
        <w:ind w:left="708"/>
        <w:contextualSpacing/>
        <w:jc w:val="both"/>
        <w:rPr>
          <w:rFonts w:ascii="Garamond" w:hAnsi="Garamond"/>
          <w:bCs/>
          <w:i/>
          <w:iCs/>
        </w:rPr>
      </w:pPr>
      <w:r w:rsidRPr="0027719E">
        <w:rPr>
          <w:rFonts w:ascii="Garamond" w:hAnsi="Garamond"/>
          <w:bCs/>
          <w:i/>
          <w:iCs/>
        </w:rPr>
        <w:t>4</w:t>
      </w:r>
      <w:r w:rsidR="00BB0775" w:rsidRPr="0027719E">
        <w:rPr>
          <w:rFonts w:ascii="Garamond" w:hAnsi="Garamond"/>
          <w:bCs/>
          <w:i/>
          <w:iCs/>
        </w:rPr>
        <w:t xml:space="preserve">.5 </w:t>
      </w:r>
      <w:r w:rsidR="009F0B2D" w:rsidRPr="0027719E">
        <w:rPr>
          <w:rFonts w:ascii="Garamond" w:hAnsi="Garamond"/>
          <w:bCs/>
          <w:i/>
          <w:iCs/>
        </w:rPr>
        <w:t xml:space="preserve">po provedení celého DÍLA, tj. jsou-li akceptovány všechny fáze a DÍLO je akceptováno jako celek bez výhrad, vzniká zhotoviteli právo na zaplacení zbývající části ceny ve výši </w:t>
      </w:r>
      <w:r w:rsidR="000D50D2" w:rsidRPr="0027719E">
        <w:rPr>
          <w:rFonts w:ascii="Garamond" w:hAnsi="Garamond"/>
          <w:bCs/>
          <w:i/>
          <w:iCs/>
        </w:rPr>
        <w:t>248</w:t>
      </w:r>
      <w:r w:rsidR="00E92BB2">
        <w:rPr>
          <w:rFonts w:ascii="Garamond" w:hAnsi="Garamond"/>
          <w:bCs/>
          <w:i/>
          <w:iCs/>
        </w:rPr>
        <w:t> </w:t>
      </w:r>
      <w:r w:rsidR="000D50D2" w:rsidRPr="0027719E">
        <w:rPr>
          <w:rFonts w:ascii="Garamond" w:hAnsi="Garamond"/>
          <w:bCs/>
          <w:i/>
          <w:iCs/>
        </w:rPr>
        <w:t>750</w:t>
      </w:r>
      <w:r w:rsidR="009F0B2D" w:rsidRPr="0027719E">
        <w:rPr>
          <w:rFonts w:ascii="Garamond" w:hAnsi="Garamond"/>
          <w:bCs/>
          <w:i/>
          <w:iCs/>
        </w:rPr>
        <w:t xml:space="preserve">Kč bez DPH, </w:t>
      </w:r>
      <w:r w:rsidR="000D50D2" w:rsidRPr="0027719E">
        <w:rPr>
          <w:rFonts w:ascii="Garamond" w:hAnsi="Garamond"/>
          <w:bCs/>
          <w:i/>
          <w:iCs/>
        </w:rPr>
        <w:t>300 987,50</w:t>
      </w:r>
      <w:r w:rsidR="009F0B2D" w:rsidRPr="0027719E">
        <w:rPr>
          <w:rFonts w:ascii="Garamond" w:hAnsi="Garamond"/>
          <w:bCs/>
          <w:i/>
          <w:iCs/>
        </w:rPr>
        <w:t xml:space="preserve"> Kč vč. DPH 21%</w:t>
      </w:r>
      <w:r w:rsidR="00BB0775" w:rsidRPr="0027719E">
        <w:rPr>
          <w:rFonts w:ascii="Garamond" w:hAnsi="Garamond"/>
          <w:bCs/>
          <w:i/>
          <w:iCs/>
        </w:rPr>
        <w:t>.</w:t>
      </w:r>
    </w:p>
    <w:p w:rsidR="007B70E7" w:rsidRPr="0027719E" w:rsidRDefault="007B70E7" w:rsidP="003C29BF">
      <w:pPr>
        <w:ind w:left="360"/>
        <w:contextualSpacing/>
        <w:jc w:val="both"/>
        <w:rPr>
          <w:rFonts w:ascii="Garamond" w:hAnsi="Garamond"/>
          <w:bCs/>
        </w:rPr>
      </w:pPr>
    </w:p>
    <w:p w:rsidR="007B70E7" w:rsidRPr="007B70E7" w:rsidRDefault="007B70E7" w:rsidP="003C29BF">
      <w:pPr>
        <w:ind w:left="360"/>
        <w:contextualSpacing/>
        <w:jc w:val="both"/>
        <w:rPr>
          <w:rFonts w:ascii="Garamond" w:hAnsi="Garamond"/>
          <w:bCs/>
        </w:rPr>
      </w:pPr>
    </w:p>
    <w:p w:rsidR="007D35CB" w:rsidRPr="007D35CB" w:rsidRDefault="007D35CB" w:rsidP="007D35C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>Důvody pro uzavření tohoto dodatku jsou tyto:</w:t>
      </w:r>
    </w:p>
    <w:p w:rsidR="003C29BF" w:rsidRDefault="009F0B2D" w:rsidP="00E62B19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AA7445">
        <w:rPr>
          <w:rFonts w:ascii="Garamond" w:hAnsi="Garamond"/>
          <w:sz w:val="24"/>
          <w:szCs w:val="24"/>
        </w:rPr>
        <w:t>Z</w:t>
      </w:r>
      <w:r w:rsidR="00E92BB2">
        <w:rPr>
          <w:rFonts w:ascii="Garamond" w:hAnsi="Garamond"/>
          <w:sz w:val="24"/>
          <w:szCs w:val="24"/>
        </w:rPr>
        <w:t>e</w:t>
      </w:r>
      <w:r w:rsidRPr="00AA7445">
        <w:rPr>
          <w:rFonts w:ascii="Garamond" w:hAnsi="Garamond"/>
          <w:sz w:val="24"/>
          <w:szCs w:val="24"/>
        </w:rPr>
        <w:t xml:space="preserve"> strany objednatele došlo ke zdržení projektu z důvodu nedostatečného zajištění součinnost</w:t>
      </w:r>
      <w:r w:rsidR="000D50D2">
        <w:rPr>
          <w:rFonts w:ascii="Garamond" w:hAnsi="Garamond"/>
          <w:sz w:val="24"/>
          <w:szCs w:val="24"/>
        </w:rPr>
        <w:t>i</w:t>
      </w:r>
      <w:r w:rsidRPr="00AA7445">
        <w:rPr>
          <w:rFonts w:ascii="Garamond" w:hAnsi="Garamond"/>
          <w:sz w:val="24"/>
          <w:szCs w:val="24"/>
        </w:rPr>
        <w:t xml:space="preserve"> a spolupráce dodavatele datového rozhraní (API);</w:t>
      </w:r>
    </w:p>
    <w:p w:rsidR="007305CD" w:rsidRPr="00AA7445" w:rsidRDefault="007305CD" w:rsidP="00E62B19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Funkční datové rozhraní (API) je nutnou podmínkou pro možnost pokračování realizace DÍLA a jeho řádné dokončení;</w:t>
      </w:r>
    </w:p>
    <w:p w:rsidR="009F0B2D" w:rsidRPr="00AA7445" w:rsidRDefault="009F0B2D" w:rsidP="00E62B19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AA7445">
        <w:rPr>
          <w:rFonts w:ascii="Garamond" w:hAnsi="Garamond"/>
          <w:sz w:val="24"/>
          <w:szCs w:val="24"/>
        </w:rPr>
        <w:t xml:space="preserve">Objednatel potřebuje </w:t>
      </w:r>
      <w:r w:rsidR="00AA7445" w:rsidRPr="00AA7445">
        <w:rPr>
          <w:rFonts w:ascii="Garamond" w:hAnsi="Garamond"/>
          <w:sz w:val="24"/>
          <w:szCs w:val="24"/>
        </w:rPr>
        <w:t xml:space="preserve">čas </w:t>
      </w:r>
      <w:r w:rsidRPr="00AA7445">
        <w:rPr>
          <w:rFonts w:ascii="Garamond" w:hAnsi="Garamond"/>
          <w:sz w:val="24"/>
          <w:szCs w:val="24"/>
        </w:rPr>
        <w:t xml:space="preserve">pro vyjasnění </w:t>
      </w:r>
      <w:r w:rsidR="00AA7445" w:rsidRPr="00AA7445">
        <w:rPr>
          <w:rFonts w:ascii="Garamond" w:hAnsi="Garamond"/>
          <w:sz w:val="24"/>
          <w:szCs w:val="24"/>
        </w:rPr>
        <w:t>technického řešení datového rozhraní (API) s jeho dodavatelem a učinění případných dalších kroků tak, aby plnění smlouvy mohlo řádně pokračovat, a to v předpokládaném rozsahu 30 dnů;</w:t>
      </w:r>
    </w:p>
    <w:p w:rsidR="00AA7445" w:rsidRPr="00AA7445" w:rsidRDefault="00AA7445" w:rsidP="00E62B19">
      <w:pPr>
        <w:pStyle w:val="Odstavecseseznamem"/>
        <w:numPr>
          <w:ilvl w:val="0"/>
          <w:numId w:val="10"/>
        </w:numPr>
        <w:jc w:val="both"/>
        <w:rPr>
          <w:rFonts w:ascii="Garamond" w:hAnsi="Garamond"/>
        </w:rPr>
      </w:pPr>
      <w:r w:rsidRPr="00AA7445">
        <w:rPr>
          <w:rFonts w:ascii="Garamond" w:hAnsi="Garamond"/>
          <w:sz w:val="24"/>
          <w:szCs w:val="24"/>
        </w:rPr>
        <w:t xml:space="preserve">Zdržením realizace DÍLA a termínu jeho předání z důvodů nikoli na straně zhotovitele vznikají pro zhotovitele negativní finanční dopady v podobě </w:t>
      </w:r>
      <w:r>
        <w:rPr>
          <w:rFonts w:ascii="Garamond" w:hAnsi="Garamond"/>
          <w:sz w:val="24"/>
          <w:szCs w:val="24"/>
        </w:rPr>
        <w:t xml:space="preserve">mj. </w:t>
      </w:r>
      <w:r w:rsidRPr="00AA7445">
        <w:rPr>
          <w:rFonts w:ascii="Garamond" w:hAnsi="Garamond"/>
          <w:sz w:val="24"/>
          <w:szCs w:val="24"/>
        </w:rPr>
        <w:t xml:space="preserve">zdržení platby ceny DÍLA oproti původně očekávanému termínu, který byl </w:t>
      </w:r>
      <w:r>
        <w:rPr>
          <w:rFonts w:ascii="Garamond" w:hAnsi="Garamond"/>
          <w:sz w:val="24"/>
          <w:szCs w:val="24"/>
        </w:rPr>
        <w:t xml:space="preserve">zhotovitelem </w:t>
      </w:r>
      <w:r w:rsidRPr="00AA7445">
        <w:rPr>
          <w:rFonts w:ascii="Garamond" w:hAnsi="Garamond"/>
          <w:sz w:val="24"/>
          <w:szCs w:val="24"/>
        </w:rPr>
        <w:t xml:space="preserve">zohledněn při přípravě </w:t>
      </w:r>
      <w:r>
        <w:rPr>
          <w:rFonts w:ascii="Garamond" w:hAnsi="Garamond"/>
          <w:sz w:val="24"/>
          <w:szCs w:val="24"/>
        </w:rPr>
        <w:t>a kalkulaci N</w:t>
      </w:r>
      <w:r w:rsidRPr="00AA7445">
        <w:rPr>
          <w:rFonts w:ascii="Garamond" w:hAnsi="Garamond"/>
          <w:sz w:val="24"/>
          <w:szCs w:val="24"/>
        </w:rPr>
        <w:t>abídky</w:t>
      </w:r>
      <w:r>
        <w:rPr>
          <w:rFonts w:ascii="Garamond" w:hAnsi="Garamond"/>
          <w:sz w:val="24"/>
          <w:szCs w:val="24"/>
        </w:rPr>
        <w:t xml:space="preserve"> zhotovitele ze dne 25. 2. 2019;</w:t>
      </w:r>
    </w:p>
    <w:p w:rsidR="007305CD" w:rsidRPr="007305CD" w:rsidRDefault="00AA7445" w:rsidP="00E62B19">
      <w:pPr>
        <w:pStyle w:val="Odstavecseseznamem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K </w:t>
      </w:r>
      <w:r w:rsidR="007305CD">
        <w:rPr>
          <w:rFonts w:ascii="Garamond" w:hAnsi="Garamond"/>
          <w:sz w:val="24"/>
          <w:szCs w:val="24"/>
        </w:rPr>
        <w:t>akceptaci</w:t>
      </w:r>
      <w:r>
        <w:rPr>
          <w:rFonts w:ascii="Garamond" w:hAnsi="Garamond"/>
          <w:sz w:val="24"/>
          <w:szCs w:val="24"/>
        </w:rPr>
        <w:t xml:space="preserve"> první (pilotní) verze DÍLA došlo dne 23. 9. 2019</w:t>
      </w:r>
      <w:r w:rsidR="0061381A">
        <w:rPr>
          <w:rFonts w:ascii="Garamond" w:hAnsi="Garamond"/>
          <w:sz w:val="24"/>
          <w:szCs w:val="24"/>
        </w:rPr>
        <w:t xml:space="preserve"> s</w:t>
      </w:r>
      <w:r w:rsidR="007305CD">
        <w:rPr>
          <w:rFonts w:ascii="Garamond" w:hAnsi="Garamond"/>
          <w:sz w:val="24"/>
          <w:szCs w:val="24"/>
        </w:rPr>
        <w:t xml:space="preserve"> výhrad</w:t>
      </w:r>
      <w:r w:rsidR="0061381A">
        <w:rPr>
          <w:rFonts w:ascii="Garamond" w:hAnsi="Garamond"/>
          <w:sz w:val="24"/>
          <w:szCs w:val="24"/>
        </w:rPr>
        <w:t>ou</w:t>
      </w:r>
      <w:r w:rsidR="007305CD">
        <w:rPr>
          <w:rFonts w:ascii="Garamond" w:hAnsi="Garamond"/>
          <w:sz w:val="24"/>
          <w:szCs w:val="24"/>
        </w:rPr>
        <w:t>;</w:t>
      </w:r>
    </w:p>
    <w:p w:rsidR="00AA7445" w:rsidRPr="009F0B2D" w:rsidRDefault="007305CD" w:rsidP="00E62B19">
      <w:pPr>
        <w:pStyle w:val="Odstavecseseznamem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Smluvní strany vzájemně prodiskutovaly aktuální situaci a uzavření tohoto dodatku považují za řešení vhodné s ohledem na oprávněné zájmy obou stran</w:t>
      </w:r>
      <w:r w:rsidR="00AA7445">
        <w:rPr>
          <w:rFonts w:ascii="Garamond" w:hAnsi="Garamond"/>
        </w:rPr>
        <w:t xml:space="preserve">. </w:t>
      </w:r>
    </w:p>
    <w:p w:rsidR="003C29BF" w:rsidRPr="007D35CB" w:rsidRDefault="003C29BF" w:rsidP="003C29BF">
      <w:pPr>
        <w:ind w:left="720"/>
        <w:contextualSpacing/>
        <w:jc w:val="both"/>
        <w:rPr>
          <w:rFonts w:ascii="Garamond" w:hAnsi="Garamond"/>
        </w:rPr>
      </w:pPr>
    </w:p>
    <w:p w:rsidR="00E077DE" w:rsidRPr="007D35CB" w:rsidRDefault="00E077DE" w:rsidP="007D35C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>Tento dodatek nabývá p</w:t>
      </w:r>
      <w:r w:rsidR="0083225D">
        <w:rPr>
          <w:rFonts w:ascii="Garamond" w:hAnsi="Garamond"/>
          <w:sz w:val="24"/>
          <w:szCs w:val="24"/>
        </w:rPr>
        <w:t>latnosti a účinnosti dnem jeho</w:t>
      </w:r>
      <w:r w:rsidRPr="007D35CB">
        <w:rPr>
          <w:rFonts w:ascii="Garamond" w:hAnsi="Garamond"/>
          <w:sz w:val="24"/>
          <w:szCs w:val="24"/>
        </w:rPr>
        <w:t xml:space="preserve"> podpisu oběma smluvními stranami.</w:t>
      </w:r>
    </w:p>
    <w:p w:rsidR="007D35CB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7D35CB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E077DE" w:rsidRPr="00853CA2" w:rsidRDefault="00E077DE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  <w:r w:rsidRPr="00853CA2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853CA2">
        <w:rPr>
          <w:rFonts w:ascii="Garamond" w:hAnsi="Garamond"/>
        </w:rPr>
        <w:t>Brně</w:t>
      </w:r>
      <w:r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 xml:space="preserve">    V</w:t>
      </w:r>
      <w:r w:rsidR="007D35CB">
        <w:rPr>
          <w:rFonts w:ascii="Garamond" w:hAnsi="Garamond"/>
        </w:rPr>
        <w:t> Praze</w:t>
      </w:r>
      <w:r w:rsidRPr="00853CA2">
        <w:rPr>
          <w:rFonts w:ascii="Garamond" w:hAnsi="Garamond"/>
        </w:rPr>
        <w:tab/>
      </w:r>
    </w:p>
    <w:p w:rsidR="00E077DE" w:rsidRPr="00853CA2" w:rsidRDefault="00E077DE" w:rsidP="00E077DE">
      <w:pPr>
        <w:ind w:left="1418" w:hanging="1418"/>
        <w:jc w:val="both"/>
        <w:rPr>
          <w:rFonts w:ascii="Garamond" w:hAnsi="Garamond"/>
        </w:rPr>
      </w:pPr>
      <w:r w:rsidRPr="00853CA2">
        <w:rPr>
          <w:rFonts w:ascii="Garamond" w:hAnsi="Garamond"/>
        </w:rPr>
        <w:t xml:space="preserve">Za objednatele </w:t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 xml:space="preserve">Za </w:t>
      </w:r>
      <w:r w:rsidR="00AA7445">
        <w:rPr>
          <w:rFonts w:ascii="Garamond" w:hAnsi="Garamond"/>
        </w:rPr>
        <w:t>zhotovitele</w:t>
      </w:r>
    </w:p>
    <w:p w:rsidR="00B21048" w:rsidRDefault="00B21048" w:rsidP="00E077DE">
      <w:pPr>
        <w:jc w:val="both"/>
        <w:rPr>
          <w:rFonts w:ascii="Garamond" w:hAnsi="Garamond"/>
        </w:rPr>
      </w:pPr>
    </w:p>
    <w:p w:rsidR="00EC0541" w:rsidRPr="00E077DE" w:rsidRDefault="00E077DE" w:rsidP="00E077DE">
      <w:pPr>
        <w:jc w:val="both"/>
        <w:rPr>
          <w:rFonts w:ascii="Garamond" w:hAnsi="Garamond"/>
        </w:rPr>
      </w:pPr>
      <w:r w:rsidRPr="00853CA2">
        <w:rPr>
          <w:rFonts w:ascii="Garamond" w:hAnsi="Garamond"/>
        </w:rPr>
        <w:t>------------------------------------</w:t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>------------------------------------</w:t>
      </w:r>
    </w:p>
    <w:sectPr w:rsidR="00EC0541" w:rsidRPr="00E077DE" w:rsidSect="0097482E">
      <w:footerReference w:type="default" r:id="rId10"/>
      <w:pgSz w:w="11906" w:h="16838"/>
      <w:pgMar w:top="817" w:right="1417" w:bottom="1134" w:left="1417" w:header="708" w:footer="4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90" w:rsidRDefault="00947990" w:rsidP="0083225D">
      <w:r>
        <w:separator/>
      </w:r>
    </w:p>
  </w:endnote>
  <w:endnote w:type="continuationSeparator" w:id="0">
    <w:p w:rsidR="00947990" w:rsidRDefault="00947990" w:rsidP="0083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41724"/>
      <w:docPartObj>
        <w:docPartGallery w:val="Page Numbers (Bottom of Page)"/>
        <w:docPartUnique/>
      </w:docPartObj>
    </w:sdtPr>
    <w:sdtContent>
      <w:p w:rsidR="0083225D" w:rsidRDefault="0006185B">
        <w:pPr>
          <w:pStyle w:val="Zpat"/>
          <w:jc w:val="right"/>
        </w:pPr>
        <w:r>
          <w:fldChar w:fldCharType="begin"/>
        </w:r>
        <w:r w:rsidR="00E348CA">
          <w:instrText xml:space="preserve"> PAGE   \* MERGEFORMAT </w:instrText>
        </w:r>
        <w:r>
          <w:fldChar w:fldCharType="separate"/>
        </w:r>
        <w:r w:rsidR="002D2F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25D" w:rsidRDefault="008322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90" w:rsidRDefault="00947990" w:rsidP="0083225D">
      <w:r>
        <w:separator/>
      </w:r>
    </w:p>
  </w:footnote>
  <w:footnote w:type="continuationSeparator" w:id="0">
    <w:p w:rsidR="00947990" w:rsidRDefault="00947990" w:rsidP="00832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3D38"/>
    <w:multiLevelType w:val="hybridMultilevel"/>
    <w:tmpl w:val="6B46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13028"/>
    <w:multiLevelType w:val="multilevel"/>
    <w:tmpl w:val="ADF29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AE67DAC"/>
    <w:multiLevelType w:val="hybridMultilevel"/>
    <w:tmpl w:val="40EAD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7CAA"/>
    <w:multiLevelType w:val="hybridMultilevel"/>
    <w:tmpl w:val="AF2011FA"/>
    <w:lvl w:ilvl="0" w:tplc="1A8E01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D4304"/>
    <w:multiLevelType w:val="hybridMultilevel"/>
    <w:tmpl w:val="C3D07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E1DFC"/>
    <w:multiLevelType w:val="hybridMultilevel"/>
    <w:tmpl w:val="9A22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15E8D"/>
    <w:multiLevelType w:val="hybridMultilevel"/>
    <w:tmpl w:val="7DF462EC"/>
    <w:lvl w:ilvl="0" w:tplc="1F8222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7173F"/>
    <w:multiLevelType w:val="multilevel"/>
    <w:tmpl w:val="54B2C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69E67A2A"/>
    <w:multiLevelType w:val="hybridMultilevel"/>
    <w:tmpl w:val="9FD41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  <w15:person w15:author="Filip Štrobich">
    <w15:presenceInfo w15:providerId="AD" w15:userId="S::filip.strobich@goodatit.com::fda3e924-a41f-4024-8aca-13d3bfd078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DE"/>
    <w:rsid w:val="000267E5"/>
    <w:rsid w:val="0003399D"/>
    <w:rsid w:val="0006185B"/>
    <w:rsid w:val="000D50D2"/>
    <w:rsid w:val="001351CF"/>
    <w:rsid w:val="001746FE"/>
    <w:rsid w:val="001E3F7F"/>
    <w:rsid w:val="001F0974"/>
    <w:rsid w:val="00254A2A"/>
    <w:rsid w:val="0027719E"/>
    <w:rsid w:val="002A7AF5"/>
    <w:rsid w:val="002D2F85"/>
    <w:rsid w:val="002E5D83"/>
    <w:rsid w:val="002F48E2"/>
    <w:rsid w:val="00300CFB"/>
    <w:rsid w:val="00391837"/>
    <w:rsid w:val="003C29BF"/>
    <w:rsid w:val="003D2BF5"/>
    <w:rsid w:val="004D060B"/>
    <w:rsid w:val="004F4AF8"/>
    <w:rsid w:val="00523240"/>
    <w:rsid w:val="0053128A"/>
    <w:rsid w:val="00564531"/>
    <w:rsid w:val="00595ECF"/>
    <w:rsid w:val="005D01DD"/>
    <w:rsid w:val="005F61DE"/>
    <w:rsid w:val="0061381A"/>
    <w:rsid w:val="00621BBA"/>
    <w:rsid w:val="006A4F39"/>
    <w:rsid w:val="0070689F"/>
    <w:rsid w:val="0072693F"/>
    <w:rsid w:val="007305CD"/>
    <w:rsid w:val="007949DE"/>
    <w:rsid w:val="007B70E7"/>
    <w:rsid w:val="007D35CB"/>
    <w:rsid w:val="00814C39"/>
    <w:rsid w:val="0083225D"/>
    <w:rsid w:val="0084334F"/>
    <w:rsid w:val="008447C6"/>
    <w:rsid w:val="00845AE3"/>
    <w:rsid w:val="0088470E"/>
    <w:rsid w:val="00914F04"/>
    <w:rsid w:val="00947990"/>
    <w:rsid w:val="0097482E"/>
    <w:rsid w:val="00977424"/>
    <w:rsid w:val="009F0B2D"/>
    <w:rsid w:val="00AA7445"/>
    <w:rsid w:val="00AB38B1"/>
    <w:rsid w:val="00B21048"/>
    <w:rsid w:val="00B63A10"/>
    <w:rsid w:val="00B83EA0"/>
    <w:rsid w:val="00BB0775"/>
    <w:rsid w:val="00BB654C"/>
    <w:rsid w:val="00BF41EF"/>
    <w:rsid w:val="00D55A65"/>
    <w:rsid w:val="00D66079"/>
    <w:rsid w:val="00DE0191"/>
    <w:rsid w:val="00E03CA7"/>
    <w:rsid w:val="00E077DE"/>
    <w:rsid w:val="00E122BB"/>
    <w:rsid w:val="00E17A06"/>
    <w:rsid w:val="00E30E1A"/>
    <w:rsid w:val="00E348CA"/>
    <w:rsid w:val="00E358EC"/>
    <w:rsid w:val="00E53A9F"/>
    <w:rsid w:val="00E60C3B"/>
    <w:rsid w:val="00E830E0"/>
    <w:rsid w:val="00E92BB2"/>
    <w:rsid w:val="00E92BCC"/>
    <w:rsid w:val="00EC0541"/>
    <w:rsid w:val="00F43DC7"/>
    <w:rsid w:val="00F6291B"/>
    <w:rsid w:val="00FB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D35CB"/>
    <w:pPr>
      <w:widowControl w:val="0"/>
      <w:suppressAutoHyphens/>
    </w:pPr>
    <w:rPr>
      <w:rFonts w:ascii="Calibri" w:hAnsi="Calibri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CB"/>
    <w:rPr>
      <w:rFonts w:ascii="Calibri" w:eastAsia="Times New Roman" w:hAnsi="Calibri" w:cs="Mangal"/>
      <w:kern w:val="1"/>
      <w:sz w:val="20"/>
      <w:szCs w:val="18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32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93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93F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69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93F"/>
    <w:pPr>
      <w:widowControl/>
      <w:suppressAutoHyphens w:val="0"/>
    </w:pPr>
    <w:rPr>
      <w:rFonts w:ascii="Times New Roman" w:hAnsi="Times New Roman" w:cs="Times New Roman"/>
      <w:b/>
      <w:bCs/>
      <w:kern w:val="0"/>
      <w:szCs w:val="2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93F"/>
    <w:rPr>
      <w:rFonts w:ascii="Times New Roman" w:eastAsia="Times New Roman" w:hAnsi="Times New Roman" w:cs="Times New Roman"/>
      <w:b/>
      <w:bCs/>
      <w:kern w:val="1"/>
      <w:sz w:val="20"/>
      <w:szCs w:val="20"/>
      <w:lang w:eastAsia="cs-CZ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D35CB"/>
    <w:pPr>
      <w:widowControl w:val="0"/>
      <w:suppressAutoHyphens/>
    </w:pPr>
    <w:rPr>
      <w:rFonts w:ascii="Calibri" w:hAnsi="Calibri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CB"/>
    <w:rPr>
      <w:rFonts w:ascii="Calibri" w:eastAsia="Times New Roman" w:hAnsi="Calibri" w:cs="Mangal"/>
      <w:kern w:val="1"/>
      <w:sz w:val="20"/>
      <w:szCs w:val="18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32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93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93F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69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93F"/>
    <w:pPr>
      <w:widowControl/>
      <w:suppressAutoHyphens w:val="0"/>
    </w:pPr>
    <w:rPr>
      <w:rFonts w:ascii="Times New Roman" w:hAnsi="Times New Roman" w:cs="Times New Roman"/>
      <w:b/>
      <w:bCs/>
      <w:kern w:val="0"/>
      <w:szCs w:val="2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93F"/>
    <w:rPr>
      <w:rFonts w:ascii="Times New Roman" w:eastAsia="Times New Roman" w:hAnsi="Times New Roman" w:cs="Times New Roman"/>
      <w:b/>
      <w:bCs/>
      <w:kern w:val="1"/>
      <w:sz w:val="20"/>
      <w:szCs w:val="20"/>
      <w:lang w:eastAsia="cs-CZ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1EE51-CB85-4AA3-83CB-B78771B59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C5FC4-EF7F-47DA-941E-A863022A7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E62F9-EBA7-48FF-8628-450A02BCAE3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synkova</cp:lastModifiedBy>
  <cp:revision>4</cp:revision>
  <cp:lastPrinted>2019-11-06T11:24:00Z</cp:lastPrinted>
  <dcterms:created xsi:type="dcterms:W3CDTF">2019-11-11T08:30:00Z</dcterms:created>
  <dcterms:modified xsi:type="dcterms:W3CDTF">2019-11-11T14:42:00Z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