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7F" w:rsidRDefault="0063017F">
      <w:pPr>
        <w:spacing w:after="523" w:line="262" w:lineRule="auto"/>
        <w:ind w:left="32" w:hanging="10"/>
        <w:jc w:val="center"/>
        <w:rPr>
          <w:rFonts w:ascii="Calibri" w:eastAsia="Calibri" w:hAnsi="Calibri" w:cs="Calibri"/>
          <w:sz w:val="24"/>
        </w:rPr>
      </w:pPr>
    </w:p>
    <w:p w:rsidR="0063017F" w:rsidRDefault="0063017F">
      <w:pPr>
        <w:spacing w:after="523" w:line="262" w:lineRule="auto"/>
        <w:ind w:left="32" w:hanging="10"/>
        <w:jc w:val="center"/>
        <w:rPr>
          <w:rFonts w:ascii="Calibri" w:eastAsia="Calibri" w:hAnsi="Calibri" w:cs="Calibri"/>
          <w:sz w:val="24"/>
        </w:rPr>
      </w:pPr>
    </w:p>
    <w:p w:rsidR="00556179" w:rsidRDefault="0063017F">
      <w:pPr>
        <w:spacing w:after="523" w:line="262" w:lineRule="auto"/>
        <w:ind w:left="32" w:hanging="10"/>
        <w:jc w:val="center"/>
      </w:pPr>
      <w:r>
        <w:rPr>
          <w:rFonts w:ascii="Calibri" w:eastAsia="Calibri" w:hAnsi="Calibri" w:cs="Calibri"/>
          <w:sz w:val="24"/>
        </w:rPr>
        <w:t>Ku</w:t>
      </w:r>
      <w:r>
        <w:rPr>
          <w:rFonts w:ascii="Calibri" w:eastAsia="Calibri" w:hAnsi="Calibri" w:cs="Calibri"/>
          <w:sz w:val="24"/>
        </w:rPr>
        <w:t>pní smlouva dle ust. Š 2079 a násl. zákona č. 89/2012 Sb., občanského zákoníku, ve znění pozdějších předpisů,</w:t>
      </w:r>
    </w:p>
    <w:p w:rsidR="00556179" w:rsidRDefault="0063017F">
      <w:pPr>
        <w:pStyle w:val="Nadpis1"/>
      </w:pPr>
      <w:r>
        <w:t>1. Smluvní strany</w:t>
      </w:r>
    </w:p>
    <w:p w:rsidR="00556179" w:rsidRDefault="0063017F">
      <w:pPr>
        <w:tabs>
          <w:tab w:val="center" w:pos="4209"/>
        </w:tabs>
        <w:spacing w:after="170" w:line="261" w:lineRule="auto"/>
      </w:pPr>
      <w:r>
        <w:rPr>
          <w:rFonts w:ascii="Calibri" w:eastAsia="Calibri" w:hAnsi="Calibri" w:cs="Calibri"/>
          <w:sz w:val="24"/>
        </w:rPr>
        <w:t>Jméno a příjmení / firma* •</w:t>
      </w:r>
      <w:r>
        <w:rPr>
          <w:rFonts w:ascii="Calibri" w:eastAsia="Calibri" w:hAnsi="Calibri" w:cs="Calibri"/>
          <w:sz w:val="24"/>
        </w:rPr>
        <w:tab/>
        <w:t>SINO IT s.r.o.</w:t>
      </w:r>
    </w:p>
    <w:p w:rsidR="00556179" w:rsidRDefault="0063017F">
      <w:pPr>
        <w:tabs>
          <w:tab w:val="center" w:pos="5306"/>
        </w:tabs>
        <w:spacing w:after="128" w:line="261" w:lineRule="auto"/>
      </w:pPr>
      <w:r>
        <w:rPr>
          <w:rFonts w:ascii="Calibri" w:eastAsia="Calibri" w:hAnsi="Calibri" w:cs="Calibri"/>
          <w:sz w:val="24"/>
        </w:rPr>
        <w:t>Trvalé bydliště / sídlo* :</w:t>
      </w:r>
      <w:r>
        <w:rPr>
          <w:rFonts w:ascii="Calibri" w:eastAsia="Calibri" w:hAnsi="Calibri" w:cs="Calibri"/>
          <w:sz w:val="24"/>
        </w:rPr>
        <w:tab/>
        <w:t>Vinohradská 282/151, 130 OO Praha 3</w:t>
      </w:r>
    </w:p>
    <w:p w:rsidR="00556179" w:rsidRDefault="0063017F">
      <w:pPr>
        <w:tabs>
          <w:tab w:val="center" w:pos="4058"/>
        </w:tabs>
        <w:spacing w:after="0" w:line="261" w:lineRule="auto"/>
      </w:pPr>
      <w:r>
        <w:rPr>
          <w:rFonts w:ascii="Calibri" w:eastAsia="Calibri" w:hAnsi="Calibri" w:cs="Calibri"/>
          <w:sz w:val="24"/>
        </w:rPr>
        <w:t>Rodné číslo / IČO* •</w:t>
      </w:r>
      <w:r>
        <w:rPr>
          <w:rFonts w:ascii="Calibri" w:eastAsia="Calibri" w:hAnsi="Calibri" w:cs="Calibri"/>
          <w:sz w:val="24"/>
        </w:rPr>
        <w:tab/>
        <w:t>079 04 380</w:t>
      </w:r>
    </w:p>
    <w:p w:rsidR="00556179" w:rsidRDefault="0063017F">
      <w:pPr>
        <w:spacing w:after="221" w:line="261" w:lineRule="auto"/>
        <w:ind w:left="175" w:hanging="10"/>
        <w:jc w:val="both"/>
      </w:pPr>
      <w:r>
        <w:rPr>
          <w:rFonts w:ascii="Calibri" w:eastAsia="Calibri" w:hAnsi="Calibri" w:cs="Calibri"/>
          <w:sz w:val="24"/>
        </w:rPr>
        <w:t>(dále jen jako „prodávající</w:t>
      </w:r>
      <w:r>
        <w:rPr>
          <w:noProof/>
        </w:rPr>
        <w:drawing>
          <wp:inline distT="0" distB="0" distL="0" distR="0">
            <wp:extent cx="91372" cy="127913"/>
            <wp:effectExtent l="0" t="0" r="0" b="0"/>
            <wp:docPr id="31182" name="Picture 3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2" name="Picture 31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72" cy="1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79" w:rsidRDefault="0063017F">
      <w:pPr>
        <w:spacing w:after="128" w:line="261" w:lineRule="auto"/>
        <w:ind w:left="60" w:hanging="10"/>
        <w:jc w:val="both"/>
      </w:pPr>
      <w:r>
        <w:rPr>
          <w:rFonts w:ascii="Calibri" w:eastAsia="Calibri" w:hAnsi="Calibri" w:cs="Calibri"/>
          <w:sz w:val="24"/>
        </w:rPr>
        <w:t>a</w:t>
      </w:r>
    </w:p>
    <w:tbl>
      <w:tblPr>
        <w:tblStyle w:val="TableGrid"/>
        <w:tblW w:w="8346" w:type="dxa"/>
        <w:tblInd w:w="79" w:type="dxa"/>
        <w:tblCellMar>
          <w:top w:w="3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965"/>
      </w:tblGrid>
      <w:tr w:rsidR="00556179">
        <w:trPr>
          <w:trHeight w:val="34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Firma: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  <w:ind w:left="2065"/>
            </w:pPr>
            <w:r>
              <w:rPr>
                <w:rFonts w:ascii="Calibri" w:eastAsia="Calibri" w:hAnsi="Calibri" w:cs="Calibri"/>
                <w:sz w:val="24"/>
              </w:rPr>
              <w:t>VOŠ a SOŠ Bystřice nad Pernštejnem</w:t>
            </w:r>
          </w:p>
        </w:tc>
      </w:tr>
      <w:tr w:rsidR="00556179">
        <w:trPr>
          <w:trHeight w:val="3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4"/>
              </w:rPr>
              <w:t>Sídlo: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>Dr. Veselého 343, 593 17 Bystřice nad Pernštejnem</w:t>
            </w:r>
          </w:p>
        </w:tc>
      </w:tr>
      <w:tr w:rsidR="00556179">
        <w:trPr>
          <w:trHeight w:val="372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IČO: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  <w:ind w:left="2050"/>
            </w:pPr>
            <w:r>
              <w:rPr>
                <w:rFonts w:ascii="Calibri" w:eastAsia="Calibri" w:hAnsi="Calibri" w:cs="Calibri"/>
                <w:sz w:val="24"/>
              </w:rPr>
              <w:t>48895504</w:t>
            </w:r>
          </w:p>
        </w:tc>
      </w:tr>
      <w:tr w:rsidR="00556179">
        <w:trPr>
          <w:trHeight w:val="282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DIČ: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179" w:rsidRDefault="0063017F">
            <w:pPr>
              <w:spacing w:after="0"/>
              <w:ind w:left="2050"/>
            </w:pPr>
            <w:r>
              <w:rPr>
                <w:rFonts w:ascii="Calibri" w:eastAsia="Calibri" w:hAnsi="Calibri" w:cs="Calibri"/>
                <w:sz w:val="24"/>
              </w:rPr>
              <w:t>CZ48895504</w:t>
            </w:r>
          </w:p>
        </w:tc>
      </w:tr>
    </w:tbl>
    <w:p w:rsidR="00556179" w:rsidRDefault="0063017F">
      <w:pPr>
        <w:spacing w:after="496" w:line="261" w:lineRule="auto"/>
        <w:ind w:left="147" w:hanging="10"/>
        <w:jc w:val="both"/>
      </w:pPr>
      <w:r>
        <w:rPr>
          <w:rFonts w:ascii="Calibri" w:eastAsia="Calibri" w:hAnsi="Calibri" w:cs="Calibri"/>
          <w:sz w:val="24"/>
        </w:rPr>
        <w:t>(dále jen jako „ kupující”)</w:t>
      </w:r>
    </w:p>
    <w:p w:rsidR="00556179" w:rsidRDefault="0063017F">
      <w:pPr>
        <w:spacing w:after="235" w:line="261" w:lineRule="auto"/>
        <w:ind w:left="60" w:hanging="10"/>
        <w:jc w:val="both"/>
      </w:pPr>
      <w:r>
        <w:rPr>
          <w:rFonts w:ascii="Calibri" w:eastAsia="Calibri" w:hAnsi="Calibri" w:cs="Calibri"/>
          <w:sz w:val="24"/>
        </w:rPr>
        <w:t>společně též jako „smluvní strany”</w:t>
      </w:r>
    </w:p>
    <w:p w:rsidR="00556179" w:rsidRDefault="0063017F">
      <w:pPr>
        <w:spacing w:after="513" w:line="261" w:lineRule="auto"/>
        <w:ind w:left="60" w:hanging="10"/>
        <w:jc w:val="both"/>
      </w:pPr>
      <w:r>
        <w:rPr>
          <w:rFonts w:ascii="Calibri" w:eastAsia="Calibri" w:hAnsi="Calibri" w:cs="Calibri"/>
          <w:sz w:val="24"/>
        </w:rPr>
        <w:t>uzavřely dne 30.10.2019 za podmínek dále dohodnutých, tuto kupní smlouvu na „Virtualizace pracovních stanic počítačové učebny VOŠ a SOŠ Bystřice nad Pernštejnem” dále jen „zařízení”:</w:t>
      </w:r>
    </w:p>
    <w:p w:rsidR="00556179" w:rsidRDefault="0063017F">
      <w:pPr>
        <w:numPr>
          <w:ilvl w:val="0"/>
          <w:numId w:val="1"/>
        </w:numPr>
        <w:spacing w:after="206" w:line="262" w:lineRule="auto"/>
        <w:ind w:right="50" w:hanging="237"/>
        <w:jc w:val="center"/>
      </w:pPr>
      <w:r>
        <w:rPr>
          <w:rFonts w:ascii="Calibri" w:eastAsia="Calibri" w:hAnsi="Calibri" w:cs="Calibri"/>
          <w:sz w:val="24"/>
        </w:rPr>
        <w:t>Předmět smlouvy</w:t>
      </w:r>
    </w:p>
    <w:p w:rsidR="00556179" w:rsidRDefault="0063017F">
      <w:pPr>
        <w:spacing w:after="128" w:line="261" w:lineRule="auto"/>
        <w:ind w:left="60" w:hanging="10"/>
        <w:jc w:val="both"/>
      </w:pPr>
      <w:r>
        <w:rPr>
          <w:rFonts w:ascii="Calibri" w:eastAsia="Calibri" w:hAnsi="Calibri" w:cs="Calibri"/>
          <w:sz w:val="24"/>
        </w:rPr>
        <w:t>2.I Předmětem této smlouvy je prodej a koupě níže popsaného zařízení:</w:t>
      </w:r>
    </w:p>
    <w:p w:rsidR="00556179" w:rsidRDefault="0063017F">
      <w:pPr>
        <w:spacing w:after="88" w:line="261" w:lineRule="auto"/>
        <w:ind w:left="460" w:right="72" w:hanging="410"/>
        <w:jc w:val="both"/>
      </w:pPr>
      <w:r>
        <w:rPr>
          <w:rFonts w:ascii="Calibri" w:eastAsia="Calibri" w:hAnsi="Calibri" w:cs="Calibri"/>
          <w:sz w:val="24"/>
        </w:rPr>
        <w:t>Virtualizace pracovních stanic počítačové učebny VOS a SOŠ Bystřice nad Pernštejnem - dodávka a provedení instalace 1 ks serveru, 30 ks klientů (stanic) a příslušenství uvedeného systému</w:t>
      </w:r>
      <w:r>
        <w:rPr>
          <w:rFonts w:ascii="Calibri" w:eastAsia="Calibri" w:hAnsi="Calibri" w:cs="Calibri"/>
          <w:sz w:val="24"/>
        </w:rPr>
        <w:t xml:space="preserve"> dle specifikace — viz příloha Kupní smlouvy</w:t>
      </w:r>
    </w:p>
    <w:p w:rsidR="00556179" w:rsidRDefault="0063017F">
      <w:pPr>
        <w:numPr>
          <w:ilvl w:val="1"/>
          <w:numId w:val="1"/>
        </w:numPr>
        <w:spacing w:after="368" w:line="261" w:lineRule="auto"/>
        <w:ind w:right="72" w:hanging="417"/>
        <w:jc w:val="both"/>
      </w:pPr>
      <w:r>
        <w:rPr>
          <w:rFonts w:ascii="Calibri" w:eastAsia="Calibri" w:hAnsi="Calibri" w:cs="Calibri"/>
          <w:sz w:val="24"/>
        </w:rPr>
        <w:t xml:space="preserve">Prodávající převede na kupujícího vlastnické právo k výše uvedenému zařízení. Dodané zařízení splňuje minimálně technické parametry požadované zadavatelem v zadávací dokumentaci k veřejné zakázce malého rozsahu </w:t>
      </w:r>
      <w:r>
        <w:rPr>
          <w:rFonts w:ascii="Calibri" w:eastAsia="Calibri" w:hAnsi="Calibri" w:cs="Calibri"/>
          <w:sz w:val="24"/>
        </w:rPr>
        <w:t>„Virtualizace pracovních stanic počítačové učebny VOŠ a SOŠ Bystřice nad Pernštejnem” — viz. Samostatná příloha Kupní smlouvy</w:t>
      </w:r>
    </w:p>
    <w:p w:rsidR="00556179" w:rsidRDefault="0063017F">
      <w:pPr>
        <w:numPr>
          <w:ilvl w:val="1"/>
          <w:numId w:val="1"/>
        </w:numPr>
        <w:spacing w:after="128" w:line="261" w:lineRule="auto"/>
        <w:ind w:right="72" w:hanging="417"/>
        <w:jc w:val="both"/>
      </w:pPr>
      <w:r>
        <w:rPr>
          <w:rFonts w:ascii="Calibri" w:eastAsia="Calibri" w:hAnsi="Calibri" w:cs="Calibri"/>
          <w:sz w:val="24"/>
        </w:rPr>
        <w:lastRenderedPageBreak/>
        <w:t>Kupující prohlašuje, že má zajištěny finanční prostředky k úhradě kupní ceny a zavazuje se zařízení převzít a zaplatit prodávající</w:t>
      </w:r>
      <w:r>
        <w:rPr>
          <w:rFonts w:ascii="Calibri" w:eastAsia="Calibri" w:hAnsi="Calibri" w:cs="Calibri"/>
          <w:sz w:val="24"/>
        </w:rPr>
        <w:t>mu dohodnutou cenu dle bodu 3.2 smlouvy, za podmínek této smlouvy.</w:t>
      </w:r>
    </w:p>
    <w:p w:rsidR="00556179" w:rsidRDefault="0063017F">
      <w:pPr>
        <w:pStyle w:val="Nadpis2"/>
        <w:spacing w:after="241"/>
        <w:ind w:left="439"/>
      </w:pPr>
      <w:r>
        <w:t>3. Kupní cena a platební podmínky</w:t>
      </w:r>
    </w:p>
    <w:p w:rsidR="00556179" w:rsidRDefault="0063017F">
      <w:pPr>
        <w:spacing w:after="293" w:line="249" w:lineRule="auto"/>
        <w:ind w:left="374" w:hanging="295"/>
        <w:jc w:val="both"/>
      </w:pPr>
      <w:r>
        <w:rPr>
          <w:sz w:val="24"/>
        </w:rPr>
        <w:t xml:space="preserve">3.I Kupní cena zařízení specifikovaného v čl. 2 této smlouvy, včetně dodání na místo určení kupujícímu je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248" name="Picture 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" name="Picture 42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dohodnuta podle zákona č. 526/1990 Sb. o cenách</w:t>
      </w:r>
      <w:r>
        <w:rPr>
          <w:sz w:val="24"/>
        </w:rPr>
        <w:t>, ve znění pozdějších předpisů a dle Pravidel Rady Kraje Vysočina pro zadávání veřejných zakázek č. 07/17, jako cena pevná.</w:t>
      </w:r>
    </w:p>
    <w:p w:rsidR="00556179" w:rsidRDefault="0063017F">
      <w:pPr>
        <w:tabs>
          <w:tab w:val="center" w:pos="4727"/>
          <w:tab w:val="center" w:pos="6213"/>
        </w:tabs>
        <w:spacing w:after="302" w:line="249" w:lineRule="auto"/>
      </w:pPr>
      <w:r>
        <w:rPr>
          <w:sz w:val="24"/>
        </w:rPr>
        <w:t>3.2 Kupní cena výbavy činí:</w:t>
      </w:r>
      <w:r>
        <w:rPr>
          <w:sz w:val="24"/>
        </w:rPr>
        <w:tab/>
        <w:t>280.655,91</w:t>
      </w:r>
      <w:r>
        <w:rPr>
          <w:sz w:val="24"/>
        </w:rPr>
        <w:tab/>
        <w:t>Kč bez DPH,</w:t>
      </w:r>
    </w:p>
    <w:p w:rsidR="00556179" w:rsidRDefault="0063017F">
      <w:pPr>
        <w:tabs>
          <w:tab w:val="center" w:pos="4684"/>
          <w:tab w:val="center" w:pos="6087"/>
        </w:tabs>
        <w:spacing w:after="283"/>
      </w:pPr>
      <w:r>
        <w:rPr>
          <w:sz w:val="24"/>
        </w:rPr>
        <w:tab/>
      </w:r>
      <w:r>
        <w:rPr>
          <w:sz w:val="24"/>
        </w:rPr>
        <w:t>58.937,74</w:t>
      </w:r>
      <w:r>
        <w:rPr>
          <w:sz w:val="24"/>
        </w:rPr>
        <w:tab/>
        <w:t>DPH 21%,</w:t>
      </w:r>
    </w:p>
    <w:p w:rsidR="00556179" w:rsidRDefault="0063017F">
      <w:pPr>
        <w:tabs>
          <w:tab w:val="center" w:pos="4731"/>
          <w:tab w:val="center" w:pos="6317"/>
        </w:tabs>
        <w:spacing w:after="233"/>
      </w:pPr>
      <w:r>
        <w:rPr>
          <w:sz w:val="24"/>
        </w:rPr>
        <w:tab/>
      </w:r>
      <w:r>
        <w:rPr>
          <w:sz w:val="24"/>
        </w:rPr>
        <w:t>339.593,65</w:t>
      </w:r>
      <w:r>
        <w:rPr>
          <w:sz w:val="24"/>
        </w:rPr>
        <w:tab/>
        <w:t>Kč včetně DPH</w:t>
      </w:r>
    </w:p>
    <w:p w:rsidR="00556179" w:rsidRDefault="0063017F">
      <w:pPr>
        <w:spacing w:after="262" w:line="249" w:lineRule="auto"/>
        <w:ind w:left="449" w:hanging="3"/>
        <w:jc w:val="both"/>
      </w:pPr>
      <w:r>
        <w:rPr>
          <w:sz w:val="24"/>
        </w:rPr>
        <w:t>Do celkové ceny podle odstavce 3.2 jsou zahrnuty veškeré náklady prodávajícího, včetně nákladů na dopravu, instalaci a zaškolení obsluhy.</w:t>
      </w:r>
    </w:p>
    <w:p w:rsidR="00556179" w:rsidRDefault="0063017F">
      <w:pPr>
        <w:spacing w:after="262" w:line="249" w:lineRule="auto"/>
        <w:ind w:left="489" w:hanging="410"/>
        <w:jc w:val="both"/>
      </w:pPr>
      <w:r>
        <w:rPr>
          <w:sz w:val="24"/>
        </w:rPr>
        <w:t>3.3 Fakturu za dodané zařízení je prodávající oprávněn vystavit po protokolárním předání předmětu smlouvy. Faktura bud</w:t>
      </w:r>
      <w:r>
        <w:rPr>
          <w:sz w:val="24"/>
        </w:rPr>
        <w:t>e obsahovat podrobnou specifikaci zařízení, označení prodávajícího a kupujícího včetně daňových údajů, fakturovanou částku, číslo kupní smlouvy, číslo faktury a datum podpisem a musí být v souladu se zákonem č. 235/2004 Sb. o dani z přidané hodnoty. Příloh</w:t>
      </w:r>
      <w:r>
        <w:rPr>
          <w:sz w:val="24"/>
        </w:rPr>
        <w:t>ou faktury bude kopie předávacího protokolu podepsaného oběma smluvními stranami.</w:t>
      </w:r>
    </w:p>
    <w:p w:rsidR="00556179" w:rsidRDefault="0063017F">
      <w:pPr>
        <w:spacing w:after="262" w:line="249" w:lineRule="auto"/>
        <w:ind w:left="82" w:hanging="3"/>
        <w:jc w:val="both"/>
      </w:pPr>
      <w:r>
        <w:rPr>
          <w:sz w:val="24"/>
        </w:rPr>
        <w:t>3.4 Smluvní strany se dohodly, že faktura bude splatná ve lhůtě do 30 dnů od data doručení faktury kupujícímu.</w:t>
      </w:r>
    </w:p>
    <w:p w:rsidR="00556179" w:rsidRDefault="0063017F">
      <w:pPr>
        <w:spacing w:after="262" w:line="249" w:lineRule="auto"/>
        <w:ind w:left="482" w:hanging="403"/>
        <w:jc w:val="both"/>
      </w:pPr>
      <w:r>
        <w:rPr>
          <w:sz w:val="24"/>
        </w:rPr>
        <w:t xml:space="preserve">3.5 V případě, že faktura nebude obsahovat všechny v bodech 3. </w:t>
      </w:r>
      <w:r>
        <w:rPr>
          <w:sz w:val="24"/>
        </w:rPr>
        <w:t>l , 3.2 a 3.3 této smlouvy, uvedené náležitosti, je kupující oprávněn fakturu vrátit, v tomto případě se kupující nedostává do prodlení s úhradou faktury. Prodávající je povinen fakturu opravit a opravenou fakturu zaslat znovu kupujícímu. Od data dodání op</w:t>
      </w:r>
      <w:r>
        <w:rPr>
          <w:sz w:val="24"/>
        </w:rPr>
        <w:t>ravené faktury běží opětovně celá lhůta splatnosti.</w:t>
      </w:r>
    </w:p>
    <w:p w:rsidR="00556179" w:rsidRDefault="0063017F">
      <w:pPr>
        <w:spacing w:after="725" w:line="249" w:lineRule="auto"/>
        <w:ind w:left="485" w:right="86" w:hanging="3"/>
        <w:jc w:val="both"/>
      </w:pPr>
      <w:r>
        <w:rPr>
          <w:sz w:val="24"/>
        </w:rPr>
        <w:t>Uhrada za plnění z této smlouvy bude realizována bezhotovostním převodem na účet prodávajícího, který je správcem daně (finančním úřadem) zveřejněn způsobem umožňujícím dálkový přístup ve smyslu ustanoven</w:t>
      </w:r>
      <w:r>
        <w:rPr>
          <w:sz w:val="24"/>
        </w:rPr>
        <w:t>í Š 98 zákona č. 235/2004 Sb. o dani z přidané hodnoty, ve znění pozdějších předpisů (dále jen „zákon o DPH”).</w:t>
      </w:r>
    </w:p>
    <w:p w:rsidR="00556179" w:rsidRDefault="0063017F">
      <w:pPr>
        <w:numPr>
          <w:ilvl w:val="0"/>
          <w:numId w:val="2"/>
        </w:numPr>
        <w:spacing w:after="233"/>
        <w:ind w:right="734" w:hanging="230"/>
        <w:jc w:val="center"/>
      </w:pPr>
      <w:r>
        <w:rPr>
          <w:sz w:val="24"/>
        </w:rPr>
        <w:t>Podmínky dodávky předmětu smlouvy</w:t>
      </w:r>
    </w:p>
    <w:p w:rsidR="00556179" w:rsidRDefault="0063017F">
      <w:pPr>
        <w:spacing w:after="262" w:line="249" w:lineRule="auto"/>
        <w:ind w:left="503" w:right="115" w:hanging="424"/>
        <w:jc w:val="both"/>
      </w:pPr>
      <w:r>
        <w:rPr>
          <w:sz w:val="24"/>
        </w:rPr>
        <w:t>4.I Prodávající se zavazuje dodat kupujícímu požadované zařízení uvedené v čl. 2 této smlouvy v souladu s oznám</w:t>
      </w:r>
      <w:r>
        <w:rPr>
          <w:sz w:val="24"/>
        </w:rPr>
        <w:t>ením zadávacího řízení v termínu do 2 1 dnů od nabytí účinnosti smlouvy o dodávce zařízení. Místem dodání předmětu smlouvy je adresa kupujícího: Dr. Veselého 343, Bystřice nad Pernštejnem. Odstoupení od smlouvy z důvodu neplnění předmětu smlouvy vyžaduje p</w:t>
      </w:r>
      <w:r>
        <w:rPr>
          <w:sz w:val="24"/>
        </w:rPr>
        <w:t>ísemnou formu a jeho účinky nastávají dnem doručení prodávajícímu.</w:t>
      </w:r>
    </w:p>
    <w:p w:rsidR="00556179" w:rsidRDefault="0063017F">
      <w:pPr>
        <w:numPr>
          <w:ilvl w:val="1"/>
          <w:numId w:val="3"/>
        </w:numPr>
        <w:spacing w:after="262" w:line="249" w:lineRule="auto"/>
        <w:ind w:hanging="381"/>
        <w:jc w:val="both"/>
      </w:pPr>
      <w:r>
        <w:rPr>
          <w:sz w:val="24"/>
        </w:rPr>
        <w:t>Prodávající je povinen uvědomit kupujícího 3 pracovní dny předem o datu předání zařízení. Kupující se zavazuje, že uvedené zařízení převezme ve sjednaném termínu.</w:t>
      </w:r>
    </w:p>
    <w:p w:rsidR="00556179" w:rsidRDefault="0063017F">
      <w:pPr>
        <w:numPr>
          <w:ilvl w:val="1"/>
          <w:numId w:val="3"/>
        </w:numPr>
        <w:spacing w:after="0" w:line="247" w:lineRule="auto"/>
        <w:ind w:hanging="381"/>
        <w:jc w:val="both"/>
      </w:pPr>
      <w:r>
        <w:rPr>
          <w:sz w:val="24"/>
        </w:rPr>
        <w:lastRenderedPageBreak/>
        <w:t>Převzetí nastane po provedené kontrole dodávky v místě plnění na základě předávacího protokolu s těmito minimálními náležitostmi:</w:t>
      </w:r>
    </w:p>
    <w:p w:rsidR="00556179" w:rsidRDefault="0063017F">
      <w:pPr>
        <w:numPr>
          <w:ilvl w:val="0"/>
          <w:numId w:val="4"/>
        </w:numPr>
        <w:spacing w:after="12" w:line="247" w:lineRule="auto"/>
        <w:ind w:firstLine="7"/>
        <w:jc w:val="both"/>
      </w:pPr>
      <w:r>
        <w:rPr>
          <w:sz w:val="24"/>
        </w:rPr>
        <w:t>obchodní jméno prodávajícího</w:t>
      </w:r>
    </w:p>
    <w:p w:rsidR="00556179" w:rsidRDefault="0063017F">
      <w:pPr>
        <w:numPr>
          <w:ilvl w:val="0"/>
          <w:numId w:val="4"/>
        </w:numPr>
        <w:spacing w:after="12" w:line="247" w:lineRule="auto"/>
        <w:ind w:firstLine="7"/>
        <w:jc w:val="both"/>
      </w:pPr>
      <w:r>
        <w:rPr>
          <w:sz w:val="24"/>
        </w:rPr>
        <w:t>nezaměnitelnou specifikaci dodaných položek</w:t>
      </w:r>
    </w:p>
    <w:p w:rsidR="00556179" w:rsidRDefault="0063017F">
      <w:pPr>
        <w:numPr>
          <w:ilvl w:val="0"/>
          <w:numId w:val="4"/>
        </w:numPr>
        <w:spacing w:after="531" w:line="247" w:lineRule="auto"/>
        <w:ind w:firstLine="7"/>
        <w:jc w:val="both"/>
      </w:pPr>
      <w:r>
        <w:rPr>
          <w:sz w:val="24"/>
        </w:rPr>
        <w:t>dále prodávající při předání zařízení předá kupujícímu všechny potřebné doklady - manuál a veškeré návody nutné k řádnému a bezpečnému užívání. Veškeré doklady musí být v českém jazyce</w:t>
      </w:r>
    </w:p>
    <w:p w:rsidR="00556179" w:rsidRDefault="0063017F">
      <w:pPr>
        <w:spacing w:after="265" w:line="247" w:lineRule="auto"/>
        <w:ind w:left="499" w:hanging="420"/>
        <w:jc w:val="both"/>
      </w:pPr>
      <w:r>
        <w:rPr>
          <w:sz w:val="24"/>
        </w:rPr>
        <w:t>4.5 Prodávající prohlašuje, že prodané zařízení nemá žádné právní ani j</w:t>
      </w:r>
      <w:r>
        <w:rPr>
          <w:sz w:val="24"/>
        </w:rPr>
        <w:t>iné vady, které by bránily jeho řádnému užívání</w:t>
      </w:r>
    </w:p>
    <w:p w:rsidR="00556179" w:rsidRDefault="0063017F">
      <w:pPr>
        <w:pStyle w:val="Nadpis2"/>
      </w:pPr>
      <w:r>
        <w:t>5. Záruka</w:t>
      </w:r>
    </w:p>
    <w:p w:rsidR="00556179" w:rsidRDefault="0063017F">
      <w:pPr>
        <w:numPr>
          <w:ilvl w:val="0"/>
          <w:numId w:val="5"/>
        </w:numPr>
        <w:spacing w:after="525" w:line="247" w:lineRule="auto"/>
        <w:ind w:hanging="245"/>
        <w:jc w:val="center"/>
      </w:pPr>
      <w:r>
        <w:rPr>
          <w:sz w:val="24"/>
        </w:rPr>
        <w:t>I Prodávající se zavazuje poskytnout záruku v celkové délce minimálně 24 měsíců.</w:t>
      </w:r>
    </w:p>
    <w:p w:rsidR="00556179" w:rsidRDefault="0063017F">
      <w:pPr>
        <w:numPr>
          <w:ilvl w:val="0"/>
          <w:numId w:val="5"/>
        </w:numPr>
        <w:spacing w:after="225"/>
        <w:ind w:hanging="245"/>
        <w:jc w:val="center"/>
      </w:pPr>
      <w:r>
        <w:rPr>
          <w:sz w:val="24"/>
        </w:rPr>
        <w:t>Smluvní pokuty a sankce</w:t>
      </w:r>
    </w:p>
    <w:p w:rsidR="00556179" w:rsidRDefault="0063017F">
      <w:pPr>
        <w:numPr>
          <w:ilvl w:val="1"/>
          <w:numId w:val="5"/>
        </w:numPr>
        <w:spacing w:after="265" w:line="247" w:lineRule="auto"/>
        <w:ind w:left="1108" w:hanging="374"/>
        <w:jc w:val="both"/>
      </w:pPr>
      <w:r>
        <w:rPr>
          <w:sz w:val="24"/>
        </w:rPr>
        <w:t>V případě, že bude prodávající v prodlení s dodáním zařízení, uhradí kupujícímu smluvní pokut</w:t>
      </w:r>
      <w:r>
        <w:rPr>
          <w:sz w:val="24"/>
        </w:rPr>
        <w:t>u ve výši 0,5 % z ceny nedodaného stroje bez DPH za každý den prodlení. V případě, že bude kupující v prodlení s úhradou faktury, uhradí prodávajícímu smluvní pokutu ve výši 0,5% z neuhrazené částky za každý den prodlení.</w:t>
      </w:r>
      <w:r>
        <w:rPr>
          <w:noProof/>
        </w:rPr>
        <w:drawing>
          <wp:inline distT="0" distB="0" distL="0" distR="0">
            <wp:extent cx="292392" cy="86798"/>
            <wp:effectExtent l="0" t="0" r="0" b="0"/>
            <wp:docPr id="31185" name="Picture 3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5" name="Picture 311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392" cy="8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79" w:rsidRDefault="0063017F">
      <w:pPr>
        <w:spacing w:after="412" w:line="247" w:lineRule="auto"/>
        <w:ind w:left="434" w:hanging="420"/>
        <w:jc w:val="both"/>
      </w:pPr>
      <w:r>
        <w:rPr>
          <w:sz w:val="24"/>
        </w:rPr>
        <w:t>6.2 Zaplacením smluvní pokuty nen</w:t>
      </w:r>
      <w:r>
        <w:rPr>
          <w:sz w:val="24"/>
        </w:rPr>
        <w:t>í dotčeno právo na náhradu škody, která vznikla straně požadující smluvní pokutu v souvislosti s porušením smlouvy, se kterým je spojena povinnost platit smluvní pokutu</w:t>
      </w:r>
    </w:p>
    <w:p w:rsidR="00556179" w:rsidRDefault="0063017F">
      <w:pPr>
        <w:numPr>
          <w:ilvl w:val="0"/>
          <w:numId w:val="5"/>
        </w:numPr>
        <w:spacing w:after="225"/>
        <w:ind w:hanging="245"/>
        <w:jc w:val="center"/>
      </w:pPr>
      <w:r>
        <w:rPr>
          <w:sz w:val="24"/>
        </w:rPr>
        <w:t>Závěrečná ujednání</w:t>
      </w:r>
    </w:p>
    <w:p w:rsidR="00556179" w:rsidRDefault="0063017F">
      <w:pPr>
        <w:numPr>
          <w:ilvl w:val="1"/>
          <w:numId w:val="5"/>
        </w:numPr>
        <w:spacing w:after="265" w:line="247" w:lineRule="auto"/>
        <w:ind w:left="1108" w:hanging="374"/>
        <w:jc w:val="both"/>
      </w:pPr>
      <w:r>
        <w:rPr>
          <w:sz w:val="24"/>
        </w:rPr>
        <w:t>Tato smlouva nabývá platnosti dnem podpisu a účinnosti dnem uveřejně</w:t>
      </w:r>
      <w:r>
        <w:rPr>
          <w:sz w:val="24"/>
        </w:rPr>
        <w:t>ní v informačním systému veřejné správy — Registru smluv.</w:t>
      </w:r>
    </w:p>
    <w:p w:rsidR="00556179" w:rsidRDefault="0063017F">
      <w:pPr>
        <w:numPr>
          <w:ilvl w:val="1"/>
          <w:numId w:val="6"/>
        </w:numPr>
        <w:spacing w:after="265" w:line="247" w:lineRule="auto"/>
        <w:ind w:hanging="417"/>
        <w:jc w:val="both"/>
      </w:pPr>
      <w:r>
        <w:rPr>
          <w:sz w:val="24"/>
        </w:rPr>
        <w:t>Dodavatel — prodávající — výslovně souhlasí se zveřejněním celého textu této smlouvy včetně podpisů v informačním systému veřejné správy — Registru smluv</w:t>
      </w:r>
    </w:p>
    <w:p w:rsidR="00556179" w:rsidRDefault="0063017F">
      <w:pPr>
        <w:numPr>
          <w:ilvl w:val="1"/>
          <w:numId w:val="6"/>
        </w:numPr>
        <w:spacing w:after="265" w:line="247" w:lineRule="auto"/>
        <w:ind w:hanging="417"/>
        <w:jc w:val="both"/>
      </w:pPr>
      <w:r>
        <w:rPr>
          <w:sz w:val="24"/>
        </w:rPr>
        <w:t>Smluvní strany se dohodly, že zákonnou povinnost dle Š 5 odst. 2 zákona o registru smluv splní zadavatel, tak jak je označen v záhlaví smlouvy a splnění této povinnosti doloží prodávajícímu. Současně bere zadavatel na vědomí, že v případě nesplnění zákonné</w:t>
      </w:r>
      <w:r>
        <w:rPr>
          <w:sz w:val="24"/>
        </w:rPr>
        <w:t xml:space="preserve"> povinnosti je smlouva do tří měsíců od jejího podpisu bez dalšího zrušena od samého počátku.</w:t>
      </w:r>
    </w:p>
    <w:p w:rsidR="00556179" w:rsidRDefault="0063017F">
      <w:pPr>
        <w:numPr>
          <w:ilvl w:val="1"/>
          <w:numId w:val="6"/>
        </w:numPr>
        <w:spacing w:after="265" w:line="247" w:lineRule="auto"/>
        <w:ind w:hanging="417"/>
        <w:jc w:val="both"/>
      </w:pPr>
      <w:r>
        <w:rPr>
          <w:sz w:val="24"/>
        </w:rPr>
        <w:t xml:space="preserve">Výklad smluv a všechny právní poměry z těchto smluv vyplývajících, se řídí českým právem. Jazykem smluv a všech jednání je čeština. Všechny spory, vzniklé z této </w:t>
      </w:r>
      <w:r>
        <w:rPr>
          <w:sz w:val="24"/>
        </w:rPr>
        <w:t>smlouvy nebo v souvislosti s ní, budou smluvní strany řešit především vzájemnou dohodou.</w:t>
      </w:r>
    </w:p>
    <w:p w:rsidR="00556179" w:rsidRDefault="0063017F">
      <w:pPr>
        <w:numPr>
          <w:ilvl w:val="1"/>
          <w:numId w:val="6"/>
        </w:numPr>
        <w:spacing w:after="265" w:line="247" w:lineRule="auto"/>
        <w:ind w:hanging="417"/>
        <w:jc w:val="both"/>
      </w:pPr>
      <w:r>
        <w:rPr>
          <w:sz w:val="24"/>
        </w:rPr>
        <w:t>Vady ve smlouvě výslovně neupravené a z ní vyplývající, se řídí právní úpravou obsaženou v občanském zákoníku.</w:t>
      </w:r>
    </w:p>
    <w:p w:rsidR="00556179" w:rsidRDefault="0063017F">
      <w:pPr>
        <w:numPr>
          <w:ilvl w:val="1"/>
          <w:numId w:val="6"/>
        </w:numPr>
        <w:spacing w:after="265" w:line="247" w:lineRule="auto"/>
        <w:ind w:hanging="417"/>
        <w:jc w:val="both"/>
      </w:pPr>
      <w:r>
        <w:rPr>
          <w:sz w:val="24"/>
        </w:rPr>
        <w:t>Změny nebo dodatky k této smlouvě jsou platné pouze tehd</w:t>
      </w:r>
      <w:r>
        <w:rPr>
          <w:sz w:val="24"/>
        </w:rPr>
        <w:t>y, jsou-li učiněny písemnou formou a odsouhlaseny smluvními stranami.</w:t>
      </w:r>
    </w:p>
    <w:p w:rsidR="00556179" w:rsidRDefault="0063017F">
      <w:pPr>
        <w:numPr>
          <w:ilvl w:val="1"/>
          <w:numId w:val="6"/>
        </w:numPr>
        <w:spacing w:after="265" w:line="247" w:lineRule="auto"/>
        <w:ind w:hanging="417"/>
        <w:jc w:val="both"/>
      </w:pPr>
      <w:r>
        <w:rPr>
          <w:sz w:val="24"/>
        </w:rPr>
        <w:lastRenderedPageBreak/>
        <w:t>Smlouvaje vyhotovena ve čtyřech stejnopisech, každý s platností originálu, přičemž každá ze smluvních stran obdrží po dvou oboustranně podepsaných vyhotoveních.</w:t>
      </w:r>
    </w:p>
    <w:tbl>
      <w:tblPr>
        <w:tblStyle w:val="TableGrid"/>
        <w:tblpPr w:vertAnchor="text" w:horzAnchor="margin" w:tblpX="-7" w:tblpY="1623"/>
        <w:tblOverlap w:val="never"/>
        <w:tblW w:w="6713" w:type="dxa"/>
        <w:tblInd w:w="0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1245"/>
      </w:tblGrid>
      <w:tr w:rsidR="00556179">
        <w:trPr>
          <w:trHeight w:val="519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</w:pPr>
            <w:r>
              <w:rPr>
                <w:sz w:val="24"/>
              </w:rPr>
              <w:t>V Bystřici nad Pernštejne</w:t>
            </w:r>
            <w:r>
              <w:rPr>
                <w:sz w:val="24"/>
              </w:rPr>
              <w:t>m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56179" w:rsidRDefault="0063017F">
            <w:pPr>
              <w:spacing w:after="0"/>
              <w:ind w:left="7"/>
              <w:jc w:val="both"/>
            </w:pPr>
            <w:r>
              <w:rPr>
                <w:sz w:val="26"/>
              </w:rPr>
              <w:t>V Bratislave</w:t>
            </w:r>
          </w:p>
        </w:tc>
      </w:tr>
      <w:tr w:rsidR="00556179">
        <w:trPr>
          <w:trHeight w:val="531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179" w:rsidRDefault="0063017F">
            <w:pPr>
              <w:spacing w:after="0"/>
            </w:pPr>
            <w:r>
              <w:rPr>
                <w:sz w:val="24"/>
              </w:rPr>
              <w:t>dne 30.10.2019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179" w:rsidRDefault="0063017F">
            <w:pPr>
              <w:tabs>
                <w:tab w:val="center" w:pos="730"/>
                <w:tab w:val="center" w:pos="809"/>
                <w:tab w:val="center" w:pos="889"/>
                <w:tab w:val="center" w:pos="968"/>
                <w:tab w:val="center" w:pos="1043"/>
                <w:tab w:val="center" w:pos="1119"/>
                <w:tab w:val="right" w:pos="1245"/>
              </w:tabs>
              <w:spacing w:after="0"/>
            </w:pPr>
            <w:r>
              <w:t>dne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43" cy="27410"/>
                  <wp:effectExtent l="0" t="0" r="0" b="0"/>
                  <wp:docPr id="7715" name="Picture 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Picture 7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43" cy="27410"/>
                  <wp:effectExtent l="0" t="0" r="0" b="0"/>
                  <wp:docPr id="7716" name="Picture 7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Picture 77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43" cy="27410"/>
                  <wp:effectExtent l="0" t="0" r="0" b="0"/>
                  <wp:docPr id="7718" name="Picture 7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Picture 77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43" cy="27410"/>
                  <wp:effectExtent l="0" t="0" r="0" b="0"/>
                  <wp:docPr id="7714" name="Picture 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Picture 77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12" cy="27410"/>
                  <wp:effectExtent l="0" t="0" r="0" b="0"/>
                  <wp:docPr id="7712" name="Picture 7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Picture 77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43" cy="27410"/>
                  <wp:effectExtent l="0" t="0" r="0" b="0"/>
                  <wp:docPr id="7713" name="Picture 7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Picture 77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43" cy="27410"/>
                  <wp:effectExtent l="0" t="0" r="0" b="0"/>
                  <wp:docPr id="7717" name="Picture 7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Picture 77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179" w:rsidRDefault="0063017F">
      <w:pPr>
        <w:numPr>
          <w:ilvl w:val="1"/>
          <w:numId w:val="6"/>
        </w:numPr>
        <w:spacing w:after="265" w:line="247" w:lineRule="auto"/>
        <w:ind w:hanging="41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4020387</wp:posOffset>
            </wp:positionH>
            <wp:positionV relativeFrom="paragraph">
              <wp:posOffset>1405221</wp:posOffset>
            </wp:positionV>
            <wp:extent cx="1512214" cy="251257"/>
            <wp:effectExtent l="0" t="0" r="0" b="0"/>
            <wp:wrapTopAndBottom/>
            <wp:docPr id="7766" name="Picture 7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" name="Picture 77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2214" cy="25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Oprávnění zástupci smluvních stran po přečtení textu smlouvy prohlašují, že smlouva je sepsána určitě, vážně a srozumitelně, v souladu s jejich svobodnou a pravou vůlí. Smluvní strany dále potvrzují, že si smlouvu přečetly, že byla sjednána svobodně a vážn</w:t>
      </w:r>
      <w:r>
        <w:rPr>
          <w:sz w:val="24"/>
        </w:rPr>
        <w:t>ě a nebyla ujednána v tísni za nápadně nevýhodných podmínek</w:t>
      </w:r>
    </w:p>
    <w:p w:rsidR="00556179" w:rsidRDefault="00556179">
      <w:pPr>
        <w:sectPr w:rsidR="00556179">
          <w:footerReference w:type="even" r:id="rId18"/>
          <w:footerReference w:type="default" r:id="rId19"/>
          <w:footerReference w:type="first" r:id="rId20"/>
          <w:pgSz w:w="11900" w:h="16820"/>
          <w:pgMar w:top="165" w:right="691" w:bottom="2507" w:left="597" w:header="708" w:footer="1144" w:gutter="0"/>
          <w:cols w:space="708"/>
        </w:sectPr>
      </w:pPr>
    </w:p>
    <w:p w:rsidR="00556179" w:rsidRDefault="00556179">
      <w:pPr>
        <w:spacing w:after="488"/>
        <w:jc w:val="right"/>
      </w:pPr>
    </w:p>
    <w:p w:rsidR="00556179" w:rsidRDefault="00556179"/>
    <w:p w:rsidR="0063017F" w:rsidRDefault="0063017F"/>
    <w:p w:rsidR="0063017F" w:rsidRDefault="0063017F">
      <w:pPr>
        <w:sectPr w:rsidR="0063017F">
          <w:type w:val="continuous"/>
          <w:pgSz w:w="11900" w:h="16820"/>
          <w:pgMar w:top="2009" w:right="2979" w:bottom="7928" w:left="7446" w:header="708" w:footer="708" w:gutter="0"/>
          <w:cols w:space="708"/>
        </w:sectPr>
      </w:pPr>
      <w:bookmarkStart w:id="0" w:name="_GoBack"/>
      <w:bookmarkEnd w:id="0"/>
    </w:p>
    <w:p w:rsidR="00556179" w:rsidRDefault="0063017F">
      <w:pPr>
        <w:tabs>
          <w:tab w:val="center" w:pos="3076"/>
          <w:tab w:val="center" w:pos="4087"/>
        </w:tabs>
        <w:spacing w:after="0"/>
      </w:pPr>
      <w:r>
        <w:rPr>
          <w:sz w:val="18"/>
        </w:rPr>
        <w:tab/>
      </w:r>
    </w:p>
    <w:p w:rsidR="0063017F" w:rsidRDefault="0063017F">
      <w:pPr>
        <w:spacing w:after="212" w:line="261" w:lineRule="auto"/>
        <w:ind w:left="60" w:hanging="10"/>
        <w:jc w:val="both"/>
        <w:rPr>
          <w:rFonts w:ascii="Calibri" w:eastAsia="Calibri" w:hAnsi="Calibri" w:cs="Calibri"/>
          <w:sz w:val="24"/>
        </w:rPr>
      </w:pPr>
    </w:p>
    <w:p w:rsidR="0063017F" w:rsidRDefault="0063017F">
      <w:pPr>
        <w:spacing w:after="212" w:line="261" w:lineRule="auto"/>
        <w:ind w:left="60" w:hanging="10"/>
        <w:jc w:val="both"/>
        <w:rPr>
          <w:rFonts w:ascii="Calibri" w:eastAsia="Calibri" w:hAnsi="Calibri" w:cs="Calibri"/>
          <w:sz w:val="24"/>
        </w:rPr>
      </w:pPr>
    </w:p>
    <w:p w:rsidR="00556179" w:rsidRDefault="0063017F">
      <w:pPr>
        <w:spacing w:after="212" w:line="261" w:lineRule="auto"/>
        <w:ind w:left="60" w:hanging="10"/>
        <w:jc w:val="both"/>
      </w:pPr>
      <w:r>
        <w:rPr>
          <w:rFonts w:ascii="Calibri" w:eastAsia="Calibri" w:hAnsi="Calibri" w:cs="Calibri"/>
          <w:sz w:val="24"/>
        </w:rPr>
        <w:t>Příloha kupní smlouvy — Specifikace zařízení</w:t>
      </w:r>
    </w:p>
    <w:tbl>
      <w:tblPr>
        <w:tblStyle w:val="TableGrid"/>
        <w:tblW w:w="10480" w:type="dxa"/>
        <w:tblInd w:w="-22" w:type="dxa"/>
        <w:tblCellMar>
          <w:top w:w="10" w:type="dxa"/>
          <w:left w:w="63" w:type="dxa"/>
          <w:bottom w:w="0" w:type="dxa"/>
          <w:right w:w="174" w:type="dxa"/>
        </w:tblCellMar>
        <w:tblLook w:val="04A0" w:firstRow="1" w:lastRow="0" w:firstColumn="1" w:lastColumn="0" w:noHBand="0" w:noVBand="1"/>
      </w:tblPr>
      <w:tblGrid>
        <w:gridCol w:w="4393"/>
        <w:gridCol w:w="3051"/>
        <w:gridCol w:w="69"/>
        <w:gridCol w:w="2955"/>
        <w:gridCol w:w="12"/>
      </w:tblGrid>
      <w:tr w:rsidR="00556179">
        <w:trPr>
          <w:trHeight w:val="551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179" w:rsidRDefault="0063017F">
            <w:pPr>
              <w:spacing w:after="0"/>
              <w:ind w:left="52"/>
            </w:pPr>
            <w:r>
              <w:rPr>
                <w:rFonts w:ascii="Calibri" w:eastAsia="Calibri" w:hAnsi="Calibri" w:cs="Calibri"/>
                <w:sz w:val="26"/>
              </w:rPr>
              <w:t>Parametr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62"/>
            </w:pPr>
            <w:r>
              <w:rPr>
                <w:rFonts w:ascii="Calibri" w:eastAsia="Calibri" w:hAnsi="Calibri" w:cs="Calibri"/>
                <w:sz w:val="24"/>
              </w:rPr>
              <w:t>Minimální požadovaná hodnota arametru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22" w:hanging="122"/>
            </w:pPr>
            <w:r>
              <w:rPr>
                <w:rFonts w:ascii="Calibri" w:eastAsia="Calibri" w:hAnsi="Calibri" w:cs="Calibri"/>
                <w:sz w:val="26"/>
              </w:rPr>
              <w:t>Skutečně dodaná hodnota arametru</w:t>
            </w:r>
          </w:p>
        </w:tc>
      </w:tr>
      <w:tr w:rsidR="00556179">
        <w:trPr>
          <w:trHeight w:val="362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2"/>
            </w:pPr>
            <w:r>
              <w:rPr>
                <w:sz w:val="26"/>
              </w:rPr>
              <w:t>SERVER — základní součásti (lks)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2"/>
            </w:pPr>
            <w:r>
              <w:t>- procesor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62"/>
            </w:pPr>
            <w:r>
              <w:t>min. 3,6 GHz, počet jader 8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602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5"/>
            </w:pPr>
            <w:r>
              <w:rPr>
                <w:sz w:val="20"/>
              </w:rPr>
              <w:t>- operační paměť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5"/>
              <w:jc w:val="both"/>
            </w:pPr>
            <w:r>
              <w:t>min. DDR4, minimální kapacita 64 GB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600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5"/>
            </w:pPr>
            <w:r>
              <w:t>- SSD disk typu M.2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7" w:hanging="7"/>
              <w:jc w:val="both"/>
            </w:pPr>
            <w:r>
              <w:t>velikost minimálně 500 GB s minimální výdrží 300 TBW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4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5"/>
            </w:pPr>
            <w:r>
              <w:t>- grafická karta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0"/>
            </w:pPr>
            <w:r>
              <w:t>operační paměť minimálně 4 GB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5"/>
            </w:pPr>
            <w:r>
              <w:t>- LAN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8"/>
            </w:pPr>
            <w:r>
              <w:t>RJ-45 GbE 10/100/1000 Mbit/s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8"/>
            </w:pPr>
            <w:r>
              <w:t>- zvuková karta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3"/>
            </w:pPr>
            <w:r>
              <w:t>ANO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478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8"/>
            </w:pPr>
            <w:r>
              <w:t>- počítačový zdroj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0" w:right="43"/>
              <w:jc w:val="both"/>
            </w:pPr>
            <w:r>
              <w:t>min. 550 W s minimální účinností 87%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4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8"/>
            </w:pPr>
            <w:r>
              <w:t>- DVD mechanika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6"/>
            </w:pPr>
            <w:r>
              <w:t>ANO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1"/>
            </w:pPr>
            <w:r>
              <w:t>- PC skříň s prachovými filtry a zvukovou izolací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6"/>
            </w:pPr>
            <w:r>
              <w:t>ANO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0"/>
            </w:pPr>
            <w:r>
              <w:rPr>
                <w:sz w:val="26"/>
              </w:rPr>
              <w:t>KLIENT — zařízení (30 kusů)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2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3"/>
            </w:pPr>
            <w:r>
              <w:t>- typ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9"/>
            </w:pPr>
            <w:r>
              <w:t>Zero Client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4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6"/>
            </w:pPr>
            <w:r>
              <w:t>- dynamické přerozdělování výkonu SPU a RAM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9"/>
            </w:pPr>
            <w:r>
              <w:rPr>
                <w:sz w:val="20"/>
              </w:rPr>
              <w:t>ANO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6"/>
            </w:pPr>
            <w:r>
              <w:t>- vlastní oddělený diskový prostor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1"/>
            </w:pPr>
            <w:r>
              <w:t>ANO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59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9" w:firstLine="7"/>
              <w:jc w:val="both"/>
            </w:pPr>
            <w:r>
              <w:lastRenderedPageBreak/>
              <w:t>- požadovaná nulová hlučnost bez pohyblivých částí jako je HDD či ventilátor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1"/>
            </w:pPr>
            <w:r>
              <w:t>ANO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2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6"/>
            </w:pPr>
            <w:r>
              <w:rPr>
                <w:sz w:val="20"/>
              </w:rPr>
              <w:t>- spotřeba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9"/>
            </w:pPr>
            <w:r>
              <w:t>max 5 W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9"/>
            </w:pPr>
            <w:r>
              <w:t>- podpora rozlišení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4"/>
            </w:pPr>
            <w:r>
              <w:t>do 1920x1080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0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9"/>
            </w:pPr>
            <w:r>
              <w:t>- LAN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1"/>
            </w:pPr>
            <w:r>
              <w:t>min. 100 Mbit/s Ethernet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835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2" w:right="7" w:firstLine="209"/>
              <w:jc w:val="both"/>
            </w:pPr>
            <w:r>
              <w:t>podpora USB periferních zařízení jako jsou paměťová média, tiskárny, audio zařízení, skenery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7"/>
            </w:pPr>
            <w:r>
              <w:t>ANO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4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t>- podpora protokolu RDP s grafickou akcelerací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ANO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0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t>- komunikační SW pro klientské stanice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ANO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maximální rozměry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do 130x90x30 mm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2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maximální váha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rPr>
                <w:rFonts w:ascii="Calibri" w:eastAsia="Calibri" w:hAnsi="Calibri" w:cs="Calibri"/>
                <w:sz w:val="18"/>
              </w:rPr>
              <w:t>do 150 g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71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potřebný obsah balení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" w:right="1417" w:firstLine="7"/>
              <w:jc w:val="both"/>
            </w:pPr>
            <w:r>
              <w:t>klientská stanice napájecí adaptér VESA úch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blPrEx>
          <w:tblCellMar>
            <w:top w:w="7" w:type="dxa"/>
            <w:left w:w="86" w:type="dxa"/>
            <w:right w:w="105" w:type="dxa"/>
          </w:tblCellMar>
        </w:tblPrEx>
        <w:trPr>
          <w:gridAfter w:val="1"/>
          <w:wAfter w:w="12" w:type="dxa"/>
          <w:trHeight w:val="367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- porty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min. 4 USB 2.0</w:t>
            </w:r>
          </w:p>
        </w:tc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tbl>
      <w:tblPr>
        <w:tblStyle w:val="TableGrid"/>
        <w:tblpPr w:vertAnchor="page" w:horzAnchor="page" w:tblpX="638" w:tblpY="12371"/>
        <w:tblOverlap w:val="never"/>
        <w:tblW w:w="10435" w:type="dxa"/>
        <w:tblInd w:w="0" w:type="dxa"/>
        <w:tblCellMar>
          <w:top w:w="10" w:type="dxa"/>
          <w:left w:w="103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381"/>
        <w:gridCol w:w="3039"/>
        <w:gridCol w:w="3015"/>
      </w:tblGrid>
      <w:tr w:rsidR="00556179">
        <w:trPr>
          <w:trHeight w:val="360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rPr>
                <w:sz w:val="24"/>
              </w:rPr>
              <w:t>Funkcionalita celého řešení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1072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firstLine="302"/>
              <w:jc w:val="both"/>
            </w:pPr>
            <w:r>
              <w:t>možnost sdílení obrazovky z učitelského prcovního místa na všechny klientské stanice žáků v učebně (vzdálená pomoc žákům při práci se SW)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ANO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1067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right="7" w:firstLine="374"/>
              <w:jc w:val="both"/>
            </w:pPr>
            <w:r>
              <w:lastRenderedPageBreak/>
              <w:t xml:space="preserve">přehrání multimediálních učebních </w:t>
            </w:r>
            <w:r>
              <w:t xml:space="preserve">a </w:t>
            </w:r>
            <w:r>
              <w:t>vzdělávacích materiálů na všech klientských stanicích žáků jedním kliknutím z učitelského pracovního místa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ANO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tbl>
      <w:tblPr>
        <w:tblStyle w:val="TableGrid"/>
        <w:tblpPr w:vertAnchor="page" w:horzAnchor="page" w:tblpX="645" w:tblpY="10558"/>
        <w:tblOverlap w:val="never"/>
        <w:tblW w:w="10442" w:type="dxa"/>
        <w:tblInd w:w="0" w:type="dxa"/>
        <w:tblCellMar>
          <w:top w:w="28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9"/>
        <w:gridCol w:w="3036"/>
        <w:gridCol w:w="3017"/>
      </w:tblGrid>
      <w:tr w:rsidR="00556179">
        <w:trPr>
          <w:trHeight w:val="362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rPr>
                <w:sz w:val="24"/>
              </w:rPr>
              <w:t>Router (1 kus)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179" w:rsidRDefault="00556179"/>
        </w:tc>
      </w:tr>
      <w:tr w:rsidR="00556179">
        <w:trPr>
          <w:trHeight w:val="364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počet portů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minimálně 4x RJ-45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procesor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minimálně 650 MHz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paměť RAM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minimálně 32 MB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tbl>
      <w:tblPr>
        <w:tblStyle w:val="TableGrid"/>
        <w:tblpPr w:vertAnchor="page" w:horzAnchor="page" w:tblpX="655" w:tblpY="9108"/>
        <w:tblOverlap w:val="never"/>
        <w:tblW w:w="10444" w:type="dxa"/>
        <w:tblInd w:w="0" w:type="dxa"/>
        <w:tblCellMar>
          <w:top w:w="2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2"/>
        <w:gridCol w:w="3043"/>
        <w:gridCol w:w="3019"/>
      </w:tblGrid>
      <w:tr w:rsidR="00556179">
        <w:trPr>
          <w:trHeight w:val="364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rPr>
                <w:sz w:val="26"/>
              </w:rPr>
              <w:t>Switch (1 kus)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179" w:rsidRDefault="00556179"/>
        </w:tc>
      </w:tr>
      <w:tr w:rsidR="00556179">
        <w:trPr>
          <w:trHeight w:val="362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- počet portů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minimálně 48x RJ-45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- LAN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rPr>
                <w:sz w:val="20"/>
              </w:rPr>
              <w:t>GbE 10/100/1000 Mbit/s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tbl>
      <w:tblPr>
        <w:tblStyle w:val="TableGrid"/>
        <w:tblpPr w:vertAnchor="text" w:tblpX="-24"/>
        <w:tblOverlap w:val="never"/>
        <w:tblW w:w="10457" w:type="dxa"/>
        <w:tblInd w:w="0" w:type="dxa"/>
        <w:tblCellMar>
          <w:top w:w="31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5"/>
        <w:gridCol w:w="3043"/>
        <w:gridCol w:w="3029"/>
      </w:tblGrid>
      <w:tr w:rsidR="00556179">
        <w:trPr>
          <w:trHeight w:val="1427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- vstupy a výstupy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9"/>
            </w:pPr>
            <w:r>
              <w:t>1x audio vstup jack 3,5 mm</w:t>
            </w:r>
          </w:p>
          <w:p w:rsidR="00556179" w:rsidRDefault="0063017F">
            <w:pPr>
              <w:spacing w:after="0"/>
              <w:ind w:left="22"/>
            </w:pPr>
            <w:r>
              <w:t>1x audio výstup jack 3,5 mm</w:t>
            </w:r>
          </w:p>
          <w:p w:rsidR="00556179" w:rsidRDefault="0063017F">
            <w:pPr>
              <w:spacing w:after="0"/>
              <w:ind w:left="22"/>
            </w:pPr>
            <w:r>
              <w:rPr>
                <w:sz w:val="20"/>
              </w:rPr>
              <w:t>1x power/reset tlačítko</w:t>
            </w:r>
          </w:p>
          <w:p w:rsidR="00556179" w:rsidRDefault="0063017F">
            <w:pPr>
              <w:spacing w:after="0"/>
              <w:ind w:left="22"/>
            </w:pPr>
            <w:r>
              <w:t>1x napájení</w:t>
            </w:r>
          </w:p>
          <w:p w:rsidR="00556179" w:rsidRDefault="0063017F">
            <w:pPr>
              <w:spacing w:after="0"/>
              <w:ind w:left="22"/>
            </w:pPr>
            <w:r>
              <w:t>IX VGA video výstup</w:t>
            </w:r>
          </w:p>
          <w:p w:rsidR="00556179" w:rsidRDefault="0063017F">
            <w:pPr>
              <w:spacing w:after="0"/>
              <w:ind w:left="22"/>
            </w:pPr>
            <w:r>
              <w:t>1x RJ-45 Ethernet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- standard VESA pro uchycení na monitor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ANO - min. 75x75, 100x100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p w:rsidR="00556179" w:rsidRDefault="00556179">
      <w:pPr>
        <w:spacing w:after="1661"/>
        <w:ind w:left="-705" w:right="9547"/>
      </w:pPr>
    </w:p>
    <w:tbl>
      <w:tblPr>
        <w:tblStyle w:val="TableGrid"/>
        <w:tblW w:w="10454" w:type="dxa"/>
        <w:tblInd w:w="-36" w:type="dxa"/>
        <w:tblCellMar>
          <w:top w:w="26" w:type="dxa"/>
          <w:left w:w="101" w:type="dxa"/>
          <w:bottom w:w="0" w:type="dxa"/>
          <w:right w:w="264" w:type="dxa"/>
        </w:tblCellMar>
        <w:tblLook w:val="04A0" w:firstRow="1" w:lastRow="0" w:firstColumn="1" w:lastColumn="0" w:noHBand="0" w:noVBand="1"/>
      </w:tblPr>
      <w:tblGrid>
        <w:gridCol w:w="4387"/>
        <w:gridCol w:w="3043"/>
        <w:gridCol w:w="3024"/>
      </w:tblGrid>
      <w:tr w:rsidR="00556179">
        <w:trPr>
          <w:trHeight w:val="36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2"/>
            </w:pPr>
            <w:r>
              <w:rPr>
                <w:sz w:val="26"/>
              </w:rPr>
              <w:t>Myš (31 kusů)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t>- připojení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USB, drátová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snímač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"/>
            </w:pPr>
            <w:r>
              <w:t>optický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479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typ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  <w:jc w:val="both"/>
            </w:pPr>
            <w:r>
              <w:t>kancelářská s kolečkem s metrická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počet tlačítek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3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lastRenderedPageBreak/>
              <w:t>- velikost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0"/>
            </w:pPr>
            <w:r>
              <w:t>min. hloubka 115 mm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- barva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"/>
            </w:pPr>
            <w:r>
              <w:t>černá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2"/>
            </w:pPr>
            <w:r>
              <w:rPr>
                <w:sz w:val="26"/>
              </w:rPr>
              <w:t>Klávesnice (31 kusů)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179" w:rsidRDefault="00556179"/>
        </w:tc>
      </w:tr>
      <w:tr w:rsidR="00556179">
        <w:trPr>
          <w:trHeight w:val="362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"/>
            </w:pPr>
            <w:r>
              <w:t>- připojení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t>USB, drátová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487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"/>
            </w:pPr>
            <w:r>
              <w:t>- typ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 w:firstLine="7"/>
              <w:jc w:val="both"/>
            </w:pPr>
            <w:r>
              <w:t>kancelářská s numerickou částí české rozložení s o is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0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"/>
            </w:pPr>
            <w:r>
              <w:t>- barva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černá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tbl>
      <w:tblPr>
        <w:tblStyle w:val="TableGrid"/>
        <w:tblpPr w:vertAnchor="page" w:horzAnchor="page" w:tblpX="612" w:tblpY="9115"/>
        <w:tblOverlap w:val="never"/>
        <w:tblW w:w="10497" w:type="dxa"/>
        <w:tblInd w:w="0" w:type="dxa"/>
        <w:tblCellMar>
          <w:top w:w="32" w:type="dxa"/>
          <w:left w:w="10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410"/>
        <w:gridCol w:w="3051"/>
        <w:gridCol w:w="3036"/>
      </w:tblGrid>
      <w:tr w:rsidR="00556179">
        <w:trPr>
          <w:trHeight w:val="36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2"/>
            </w:pPr>
            <w:r>
              <w:rPr>
                <w:sz w:val="26"/>
              </w:rPr>
              <w:t>Požadavek na SW kompatibilitu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597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 w:firstLine="7"/>
              <w:jc w:val="both"/>
            </w:pPr>
            <w:r>
              <w:t>- operační systém kompatibilní se stávajícím OS ve škole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 w:firstLine="7"/>
              <w:jc w:val="both"/>
            </w:pPr>
            <w:r>
              <w:t>stávající MS Windows 10, Windows Server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- připojení k AD školy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tbl>
      <w:tblPr>
        <w:tblStyle w:val="TableGrid"/>
        <w:tblpPr w:vertAnchor="text" w:tblpX="-46"/>
        <w:tblOverlap w:val="never"/>
        <w:tblW w:w="10500" w:type="dxa"/>
        <w:tblInd w:w="0" w:type="dxa"/>
        <w:tblCellMar>
          <w:top w:w="17" w:type="dxa"/>
          <w:left w:w="7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4411"/>
        <w:gridCol w:w="3053"/>
        <w:gridCol w:w="3036"/>
      </w:tblGrid>
      <w:tr w:rsidR="00556179">
        <w:trPr>
          <w:trHeight w:val="604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65" w:firstLine="173"/>
              <w:jc w:val="both"/>
            </w:pPr>
            <w:r>
              <w:t>vzdálená podpora žákům a možnost převzetí kontroly z učitelského místa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65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839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0" w:right="14" w:firstLine="288"/>
              <w:jc w:val="both"/>
            </w:pPr>
            <w:r>
              <w:t>možnost posílání notifikací studentovi / studentům formou diskuze jako při klasickém chatu, nebo bez možnosti odpovědi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8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179" w:rsidRDefault="00556179"/>
        </w:tc>
      </w:tr>
      <w:tr w:rsidR="00556179">
        <w:trPr>
          <w:trHeight w:val="367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8"/>
            </w:pPr>
            <w:r>
              <w:t>- pokročilé nastavení zamezení USB vstupů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50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722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3" w:right="180" w:firstLine="7"/>
              <w:jc w:val="both"/>
            </w:pPr>
            <w:r>
              <w:t>- úplné zamezení/obnova internetu a sociálních sítí na klientských stanicích žáků jedním kliknutím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43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597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6" w:firstLine="216"/>
              <w:jc w:val="both"/>
            </w:pPr>
            <w:r>
              <w:t>pokročilé možnosti sdílení souborů (zadání) žákům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36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1072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9" w:right="43" w:firstLine="403"/>
              <w:jc w:val="both"/>
            </w:pPr>
            <w:r>
              <w:t>vymazání žáky stažených soouborů (dokumentů, tabulek, prezentací apod.) a procłstenł pracovní plochy na klientských stanicích žáků jedním kliknutím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9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602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9" w:firstLine="273"/>
            </w:pPr>
            <w:r>
              <w:t>možnost používání prezentace s využitím interaktivní tabule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22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600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 w:firstLine="381"/>
            </w:pPr>
            <w:r>
              <w:t>možnost promítání</w:t>
            </w:r>
            <w:r>
              <w:tab/>
              <w:t>v učebně pomocí dataprojektoru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4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t>- možnost používat touch funkce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367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14"/>
            </w:pPr>
            <w:r>
              <w:rPr>
                <w:sz w:val="20"/>
              </w:rPr>
              <w:t>- možnost importování PDF a PPT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left="7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  <w:tr w:rsidR="00556179">
        <w:trPr>
          <w:trHeight w:val="593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  <w:ind w:firstLine="223"/>
              <w:jc w:val="both"/>
            </w:pPr>
            <w:r>
              <w:t>školení k dodanému SW lektorem od jeho výrobce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63017F">
            <w:pPr>
              <w:spacing w:after="0"/>
            </w:pPr>
            <w:r>
              <w:t>ANO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179" w:rsidRDefault="00556179"/>
        </w:tc>
      </w:tr>
    </w:tbl>
    <w:p w:rsidR="00556179" w:rsidRDefault="00556179">
      <w:pPr>
        <w:spacing w:after="0"/>
        <w:ind w:left="-705" w:right="9547"/>
      </w:pPr>
    </w:p>
    <w:sectPr w:rsidR="00556179">
      <w:type w:val="continuous"/>
      <w:pgSz w:w="11900" w:h="16820"/>
      <w:pgMar w:top="1983" w:right="2353" w:bottom="1950" w:left="7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017F">
      <w:pPr>
        <w:spacing w:after="0" w:line="240" w:lineRule="auto"/>
      </w:pPr>
      <w:r>
        <w:separator/>
      </w:r>
    </w:p>
  </w:endnote>
  <w:endnote w:type="continuationSeparator" w:id="0">
    <w:p w:rsidR="00000000" w:rsidRDefault="0063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79" w:rsidRDefault="0063017F">
    <w:pPr>
      <w:spacing w:after="0"/>
      <w:ind w:right="1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79" w:rsidRDefault="0063017F">
    <w:pPr>
      <w:spacing w:after="0"/>
      <w:ind w:right="1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3017F">
      <w:rPr>
        <w:rFonts w:ascii="Calibri" w:eastAsia="Calibri" w:hAnsi="Calibri" w:cs="Calibri"/>
        <w:noProof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79" w:rsidRDefault="0063017F">
    <w:pPr>
      <w:spacing w:after="0"/>
      <w:ind w:right="1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017F">
      <w:pPr>
        <w:spacing w:after="0" w:line="240" w:lineRule="auto"/>
      </w:pPr>
      <w:r>
        <w:separator/>
      </w:r>
    </w:p>
  </w:footnote>
  <w:footnote w:type="continuationSeparator" w:id="0">
    <w:p w:rsidR="00000000" w:rsidRDefault="0063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B08"/>
    <w:multiLevelType w:val="hybridMultilevel"/>
    <w:tmpl w:val="2BC23CFC"/>
    <w:lvl w:ilvl="0" w:tplc="0BD0A03A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2FE9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4915E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035F0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401B8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E3B74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06ADE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EB02C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EA7FA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54AF4"/>
    <w:multiLevelType w:val="multilevel"/>
    <w:tmpl w:val="94FE70F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1A2114"/>
    <w:multiLevelType w:val="multilevel"/>
    <w:tmpl w:val="540CCA66"/>
    <w:lvl w:ilvl="0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Roman"/>
      <w:lvlText w:val="%1.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4072B"/>
    <w:multiLevelType w:val="multilevel"/>
    <w:tmpl w:val="7E68BE30"/>
    <w:lvl w:ilvl="0">
      <w:start w:val="2"/>
      <w:numFmt w:val="decimal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35139F"/>
    <w:multiLevelType w:val="hybridMultilevel"/>
    <w:tmpl w:val="F33A94E4"/>
    <w:lvl w:ilvl="0" w:tplc="890AE23E">
      <w:start w:val="4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E04562">
      <w:start w:val="1"/>
      <w:numFmt w:val="lowerLetter"/>
      <w:lvlText w:val="%2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09EF0">
      <w:start w:val="1"/>
      <w:numFmt w:val="lowerRoman"/>
      <w:lvlText w:val="%3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6BA1C">
      <w:start w:val="1"/>
      <w:numFmt w:val="decimal"/>
      <w:lvlText w:val="%4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E87C6">
      <w:start w:val="1"/>
      <w:numFmt w:val="lowerLetter"/>
      <w:lvlText w:val="%5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ED6C4">
      <w:start w:val="1"/>
      <w:numFmt w:val="lowerRoman"/>
      <w:lvlText w:val="%6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C522A">
      <w:start w:val="1"/>
      <w:numFmt w:val="decimal"/>
      <w:lvlText w:val="%7"/>
      <w:lvlJc w:val="left"/>
      <w:pPr>
        <w:ind w:left="7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C80BA">
      <w:start w:val="1"/>
      <w:numFmt w:val="lowerLetter"/>
      <w:lvlText w:val="%8"/>
      <w:lvlJc w:val="left"/>
      <w:pPr>
        <w:ind w:left="8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6DF22">
      <w:start w:val="1"/>
      <w:numFmt w:val="lowerRoman"/>
      <w:lvlText w:val="%9"/>
      <w:lvlJc w:val="left"/>
      <w:pPr>
        <w:ind w:left="9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05377"/>
    <w:multiLevelType w:val="multilevel"/>
    <w:tmpl w:val="64FEC9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79"/>
    <w:rsid w:val="00556179"/>
    <w:rsid w:val="006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D4E5"/>
  <w15:docId w15:val="{F5967C85-C8A0-4F44-9A4B-722B744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74"/>
      <w:ind w:left="46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8"/>
      <w:ind w:left="29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30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KM_C224e-20191111100544</vt:lpstr>
    </vt:vector>
  </TitlesOfParts>
  <Company>ATC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KM_C224e-20191111100544</dc:title>
  <dc:subject/>
  <dc:creator>Lucie Nunvářová</dc:creator>
  <cp:keywords/>
  <cp:lastModifiedBy>Lucie Nunvářová</cp:lastModifiedBy>
  <cp:revision>2</cp:revision>
  <dcterms:created xsi:type="dcterms:W3CDTF">2019-11-11T08:28:00Z</dcterms:created>
  <dcterms:modified xsi:type="dcterms:W3CDTF">2019-11-11T08:28:00Z</dcterms:modified>
</cp:coreProperties>
</file>