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1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k</w:t>
      </w:r>
      <w:bookmarkEnd w:id="6"/>
      <w:bookmarkEnd w:id="7"/>
    </w:p>
    <w:p>
      <w:pPr>
        <w:pStyle w:val="Style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Smlouvě o zajištění výkonu technického dozoru stavebníka na staveništi</w:t>
        <w:br/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na akci: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11/357 Jimramov - most ev. č. 357-020</w:t>
      </w:r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uzavřený podle § 1746 odst. 2 zákona č. 89/2012 Sb., občanský zákoník, v platném znění.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27/2018/TDS/D2/ZR/VZMR-sl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dodavatele: 18TD10101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  <w:br/>
        <w:t>Smluvní strany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749" w:left="1129" w:right="1036" w:bottom="923" w:header="1321" w:footer="495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1697990" distL="0" distR="0" simplePos="0" relativeHeight="125829378" behindDoc="0" locked="0" layoutInCell="1" allowOverlap="1">
                <wp:simplePos x="0" y="0"/>
                <wp:positionH relativeFrom="page">
                  <wp:posOffset>2039620</wp:posOffset>
                </wp:positionH>
                <wp:positionV relativeFrom="paragraph">
                  <wp:posOffset>0</wp:posOffset>
                </wp:positionV>
                <wp:extent cx="4194175" cy="54229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94175" cy="542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Vysočiny,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1122/16, 586 01 Jihlava</w:t>
                            </w:r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Radovanem Necidem, ředitelem organizace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0.59999999999999pt;margin-top:0;width:330.25pt;height:42.700000000000003pt;z-index:-125829375;mso-wrap-distance-left:0;mso-wrap-distance-right:0;mso-wrap-distance-bottom:133.6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Vysočiny,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 1122/16, 586 01 Jihlava</w:t>
                      </w:r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Radovanem Necidem, ředitelem organizace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90" distB="3175" distL="0" distR="0" simplePos="0" relativeHeight="12582938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8890</wp:posOffset>
                </wp:positionV>
                <wp:extent cx="3285490" cy="222821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5490" cy="2228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Osoby pověřené jednat jménem objednatele ve věcech technických: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Fax: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Zřizovatel: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6.700000000000003pt;margin-top:0.69999999999999996pt;width:258.69999999999999pt;height:175.44999999999999pt;z-index:-125829373;mso-wrap-distance-left:0;mso-wrap-distance-top:0.69999999999999996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  <w:bookmarkEnd w:id="2"/>
                      <w:bookmarkEnd w:id="3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Osoby pověřené jednat jménem objednatele ve věcech technických: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Fax: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Zřizovatel: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82625" distB="1198245" distL="0" distR="0" simplePos="0" relativeHeight="125829382" behindDoc="0" locked="0" layoutInCell="1" allowOverlap="1">
                <wp:simplePos x="0" y="0"/>
                <wp:positionH relativeFrom="page">
                  <wp:posOffset>2039620</wp:posOffset>
                </wp:positionH>
                <wp:positionV relativeFrom="paragraph">
                  <wp:posOffset>682625</wp:posOffset>
                </wp:positionV>
                <wp:extent cx="2703830" cy="35941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0383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referent investiční výstavby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Komerční banka, 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60.59999999999999pt;margin-top:53.75pt;width:212.90000000000001pt;height:28.300000000000001pt;z-index:-125829371;mso-wrap-distance-left:0;mso-wrap-distance-top:53.75pt;mso-wrap-distance-right:0;mso-wrap-distance-bottom:94.34999999999999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6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referent investiční výstavby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Komerční banka,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95070" distB="682625" distL="0" distR="0" simplePos="0" relativeHeight="125829384" behindDoc="0" locked="0" layoutInCell="1" allowOverlap="1">
                <wp:simplePos x="0" y="0"/>
                <wp:positionH relativeFrom="page">
                  <wp:posOffset>2039620</wp:posOffset>
                </wp:positionH>
                <wp:positionV relativeFrom="paragraph">
                  <wp:posOffset>1195070</wp:posOffset>
                </wp:positionV>
                <wp:extent cx="826135" cy="36258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6135" cy="362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00090450 CZ00090450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60.59999999999999pt;margin-top:94.099999999999994pt;width:65.049999999999997pt;height:28.550000000000001pt;z-index:-125829369;mso-wrap-distance-left:0;mso-wrap-distance-top:94.099999999999994pt;mso-wrap-distance-right:0;mso-wrap-distance-bottom:53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00090450 CZ00090450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045335" distB="0" distL="0" distR="0" simplePos="0" relativeHeight="125829386" behindDoc="0" locked="0" layoutInCell="1" allowOverlap="1">
                <wp:simplePos x="0" y="0"/>
                <wp:positionH relativeFrom="page">
                  <wp:posOffset>2037080</wp:posOffset>
                </wp:positionH>
                <wp:positionV relativeFrom="paragraph">
                  <wp:posOffset>2045335</wp:posOffset>
                </wp:positionV>
                <wp:extent cx="911225" cy="19494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122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 Vysočina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60.40000000000001pt;margin-top:161.05000000000001pt;width:71.75pt;height:15.35pt;z-index:-125829367;mso-wrap-distance-left:0;mso-wrap-distance-top:161.05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 Vysočina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44625" distB="152400" distL="0" distR="0" simplePos="0" relativeHeight="125829388" behindDoc="0" locked="0" layoutInCell="1" allowOverlap="1">
                <wp:simplePos x="0" y="0"/>
                <wp:positionH relativeFrom="page">
                  <wp:posOffset>4780280</wp:posOffset>
                </wp:positionH>
                <wp:positionV relativeFrom="paragraph">
                  <wp:posOffset>1444625</wp:posOffset>
                </wp:positionV>
                <wp:extent cx="1322705" cy="64325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2705" cy="643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62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'</w:t>
                              <w:tab/>
                              <w:t>Krajská »pravn a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•Hnk Vyíočiny, tJtwěvko-í</w:t>
                            </w:r>
                          </w:p>
                          <w:p>
                            <w:pPr>
                              <w:pStyle w:val="Style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20"/>
                              <w:jc w:val="left"/>
                            </w:pPr>
                            <w:bookmarkStart w:id="4" w:name="bookmark4"/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 6 -11- 2019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76.39999999999998pt;margin-top:113.75pt;width:104.15000000000001pt;height:50.649999999999999pt;z-index:-125829365;mso-wrap-distance-left:0;mso-wrap-distance-top:113.75pt;mso-wrap-distance-right:0;mso-wrap-distance-bottom:12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2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'</w:t>
                        <w:tab/>
                        <w:t>Krajská »pravn 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•Hnk Vyíočiny, tJtwěvko-í</w:t>
                      </w:r>
                    </w:p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2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 6 -11- 2019</w:t>
                      </w:r>
                      <w:bookmarkEnd w:id="4"/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..Objednatel“)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1886"/>
        <w:gridCol w:w="7786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IBR Consulting, s.r.o.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Sokolovská 352/215, 190 00 Praha 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Františkem Bencem, Ph.D., jednatelem společnosti</w:t>
            </w:r>
          </w:p>
        </w:tc>
      </w:tr>
    </w:tbl>
    <w:p>
      <w:pPr>
        <w:widowControl w:val="0"/>
        <w:spacing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Městského soudu v Praze, oddíl C, vložka 235748 Osoby pověřené jednat jménem zhotovitele ve věcech</w:t>
      </w:r>
    </w:p>
    <w:tbl>
      <w:tblPr>
        <w:tblOverlap w:val="never"/>
        <w:jc w:val="center"/>
        <w:tblLayout w:type="fixed"/>
      </w:tblPr>
      <w:tblGrid>
        <w:gridCol w:w="1886"/>
        <w:gridCol w:w="7786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jednatel společnosti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technických: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ředitel divize TDS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Raiffeisenbank a.s.</w:t>
            </w:r>
          </w:p>
        </w:tc>
      </w:tr>
    </w:tbl>
    <w:p>
      <w:pPr>
        <w:widowControl w:val="0"/>
        <w:spacing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účtu:</w:t>
      </w:r>
    </w:p>
    <w:tbl>
      <w:tblPr>
        <w:tblOverlap w:val="never"/>
        <w:jc w:val="center"/>
        <w:tblLayout w:type="fixed"/>
      </w:tblPr>
      <w:tblGrid>
        <w:gridCol w:w="1886"/>
        <w:gridCol w:w="7786"/>
      </w:tblGrid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 23 446 CZ25023446</w:t>
            </w:r>
          </w:p>
        </w:tc>
      </w:tr>
    </w:tbl>
    <w:p>
      <w:pPr>
        <w:widowControl w:val="0"/>
        <w:spacing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E-mail:</w:t>
      </w:r>
    </w:p>
    <w:tbl>
      <w:tblPr>
        <w:tblOverlap w:val="never"/>
        <w:jc w:val="center"/>
        <w:tblLayout w:type="fixed"/>
      </w:tblPr>
      <w:tblGrid>
        <w:gridCol w:w="1886"/>
        <w:gridCol w:w="7786"/>
      </w:tblGrid>
      <w:tr>
        <w:trPr>
          <w:trHeight w:val="115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(dále jen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„TDS“)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Článek 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Změna smluvních podmínek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6" w:val="left"/>
        </w:tabs>
        <w:bidi w:val="0"/>
        <w:spacing w:before="0" w:after="800" w:line="254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5730875</wp:posOffset>
                </wp:positionH>
                <wp:positionV relativeFrom="paragraph">
                  <wp:posOffset>838200</wp:posOffset>
                </wp:positionV>
                <wp:extent cx="646430" cy="149225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643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Stránka 1 z 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51.25pt;margin-top:66.pt;width:50.899999999999999pt;height:11.75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Stránka 1 z 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vzájemně dohodly na změně stávající smlouvy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27/2018/TDS/D2/ZR/VZMR-sl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ze dne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2. 7. 2018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spočívající v prodloužení termínu plnění.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ř. 2 k smlouvě č. 27/2018/TDS/D2/ZR/VZMR-sl akce: 11/357 Jimramov - most ev. ř. 357-020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4" w:val="left"/>
        </w:tabs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vzájemně dohodly, že Objednatel zaplatí dodavateli za provedené práce výkonu technického dozoru stavebníka přesahující předpokládaný počet stavebně realizačních měsíců (tj. 5 měsíců dle bodu 2a) kalkulace odměny) smluvní dohodnutou částku dle podané cenové nabídky ze dne 18. 6. 2018 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31.500,-- Kč bez DPH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/stavebně realizační měsíc.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4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TDS je oprávněn vystavit fakturu a Objednatel je povinen ji proplatit za každý další stavebně realizační měsíc přesahující 5 stavebně realizačních měsíců, až do ukončení činnosti TDS na základě předávacího protokolu o předání a převzetí stavby mezi zhotovitelem a objednatelem.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4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dále dohodly, že TDS nepřísluší tato odměna v období přerušení stavebních prací (např. zimní přestávka), tj. za období kdy TDS prokazatelně nevykonává svoji činnost. Činnost TDS bude opětovně obnovena dnem zahájení stavebních prací a jeho zápisem ve stavebním deníku.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4" w:val="left"/>
        </w:tabs>
        <w:bidi w:val="0"/>
        <w:spacing w:before="0" w:after="3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ve znění platných dodatků, nedotčené Dodatkem č. 2, zůstávají v platnosti v původním znění.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4" w:val="left"/>
        </w:tabs>
        <w:bidi w:val="0"/>
        <w:spacing w:before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2 je nedílnou součástí Smlouvy o zajištění výkonu technického dozoru stavebníka na staveništi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27/2018/TDS/D2/ZR/VZMR-S1,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uzavřené dne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2. 7. 2018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podle ustanovení § 1746 odst. 2 zákona č. 89/2012 Sb., občanský zákoník, v platném znění.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4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vyhotoven ve třech stejnopisech, z nichž dva výtisky obdrží objednatel a jeden výtisk TDS.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2 nabývá platnosti dnem podpisu a účinnosti dnem uveřejnění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4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někteiých smluv, uveřejňování těchto smluv a o registru smluv (zákon o registru smluv) zajistí objednatel.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4" w:val="left"/>
        </w:tabs>
        <w:bidi w:val="0"/>
        <w:spacing w:before="0" w:after="3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Dodatek č. 2 před podpisem přečetly, s 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9"/>
        <w:keepNext/>
        <w:keepLines/>
        <w:widowControl w:val="0"/>
        <w:shd w:val="clear" w:color="auto" w:fill="auto"/>
        <w:tabs>
          <w:tab w:pos="3744" w:val="left"/>
          <w:tab w:pos="5664" w:val="left"/>
        </w:tabs>
        <w:bidi w:val="0"/>
        <w:spacing w:before="0" w:after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position w:val="0"/>
          <w:shd w:val="clear" w:color="auto" w:fill="auto"/>
          <w:lang w:val="cs-CZ" w:eastAsia="cs-CZ" w:bidi="cs-CZ"/>
        </w:rPr>
        <w:t>07 1L 2019</w:t>
        <w:tab/>
        <w:t>.</w:t>
        <w:tab/>
        <w:t>0 5 -11- 2019</w:t>
      </w:r>
      <w:bookmarkEnd w:id="12"/>
      <w:bookmarkEnd w:id="13"/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795" w:val="right"/>
          <w:tab w:leader="dot" w:pos="2674" w:val="left"/>
          <w:tab w:pos="5909" w:val="left"/>
          <w:tab w:leader="dot" w:pos="6389" w:val="left"/>
          <w:tab w:leader="dot" w:pos="8126" w:val="left"/>
        </w:tabs>
        <w:bidi w:val="0"/>
        <w:spacing w:before="0" w:after="540" w:line="18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Jihlavě dne </w:t>
        <w:tab/>
        <w:t>‘</w:t>
        <w:tab/>
        <w:t xml:space="preserve"> V</w:t>
        <w:tab/>
        <w:tab/>
        <w:t>dne</w:t>
        <w:tab/>
      </w:r>
    </w:p>
    <w:p>
      <w:pPr>
        <w:pStyle w:val="Style5"/>
        <w:keepNext/>
        <w:keepLines/>
        <w:widowControl w:val="0"/>
        <w:shd w:val="clear" w:color="auto" w:fill="auto"/>
        <w:tabs>
          <w:tab w:pos="4877" w:val="left"/>
        </w:tabs>
        <w:bidi w:val="0"/>
        <w:spacing w:before="0" w:after="1340"/>
        <w:ind w:left="0" w:right="0" w:firstLine="0"/>
        <w:jc w:val="both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TDS:</w:t>
      </w:r>
      <w:bookmarkEnd w:id="14"/>
      <w:bookmarkEnd w:id="1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40" w:line="259" w:lineRule="auto"/>
        <w:ind w:left="0" w:right="0" w:firstLine="0"/>
        <w:jc w:val="center"/>
      </w:pPr>
      <w:r>
        <mc:AlternateContent>
          <mc:Choice Requires="wps">
            <w:drawing>
              <wp:anchor distT="0" distB="1161415" distL="114300" distR="1217295" simplePos="0" relativeHeight="125829392" behindDoc="0" locked="0" layoutInCell="1" allowOverlap="1">
                <wp:simplePos x="0" y="0"/>
                <wp:positionH relativeFrom="page">
                  <wp:posOffset>4474845</wp:posOffset>
                </wp:positionH>
                <wp:positionV relativeFrom="paragraph">
                  <wp:posOffset>12700</wp:posOffset>
                </wp:positionV>
                <wp:extent cx="780415" cy="186055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041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Aleš Bednář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52.35000000000002pt;margin-top:1.pt;width:61.450000000000003pt;height:14.65pt;z-index:-125829361;mso-wrap-distance-left:9.pt;mso-wrap-distance-right:95.849999999999994pt;mso-wrap-distance-bottom:91.4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Aleš Bednář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197610" distB="635" distL="1348740" distR="114300" simplePos="0" relativeHeight="125829394" behindDoc="0" locked="0" layoutInCell="1" allowOverlap="1">
                <wp:simplePos x="0" y="0"/>
                <wp:positionH relativeFrom="page">
                  <wp:posOffset>5709285</wp:posOffset>
                </wp:positionH>
                <wp:positionV relativeFrom="paragraph">
                  <wp:posOffset>1210310</wp:posOffset>
                </wp:positionV>
                <wp:extent cx="648970" cy="149225"/>
                <wp:wrapSquare wrapText="lef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897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Stránka 2 z 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49.55000000000001pt;margin-top:95.299999999999997pt;width:51.100000000000001pt;height:11.75pt;z-index:-125829359;mso-wrap-distance-left:106.2pt;mso-wrap-distance-top:94.299999999999997pt;mso-wrap-distance-right:9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Stránka 2 z 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</w:t>
        <w:br/>
        <w:t>ředitel organizace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ř. 2 k smlouvě č. 27/2018/TDS/D2/ZR/VZMR-S1 akce: 11/357 Jimramov - most ev. ř. 357-020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761" w:left="1114" w:right="1023" w:bottom="910" w:header="1333" w:footer="48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Nadpis #3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Nadpis #1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CharStyle12">
    <w:name w:val="Nadpis #2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5">
    <w:name w:val="Základní text (3)_"/>
    <w:basedOn w:val="DefaultParagraphFont"/>
    <w:link w:val="Style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7">
    <w:name w:val="Základní text (2)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0">
    <w:name w:val="Titulek tabulky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Jiné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 w:line="25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Nadpis #3"/>
    <w:basedOn w:val="Normal"/>
    <w:link w:val="CharStyle6"/>
    <w:pPr>
      <w:widowControl w:val="0"/>
      <w:shd w:val="clear" w:color="auto" w:fill="FFFFFF"/>
      <w:spacing w:after="50" w:line="252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FFFFFF"/>
      <w:spacing w:after="150"/>
    </w:pPr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ind w:firstLine="31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8"/>
      <w:szCs w:val="28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FFFFFF"/>
      <w:spacing w:after="240" w:line="305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4">
    <w:name w:val="Základní text (3)"/>
    <w:basedOn w:val="Normal"/>
    <w:link w:val="CharStyle15"/>
    <w:pPr>
      <w:widowControl w:val="0"/>
      <w:shd w:val="clear" w:color="auto" w:fill="FFFFFF"/>
      <w:spacing w:after="12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16">
    <w:name w:val="Základní text (2)"/>
    <w:basedOn w:val="Normal"/>
    <w:link w:val="CharStyle17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19">
    <w:name w:val="Titulek tabulky"/>
    <w:basedOn w:val="Normal"/>
    <w:link w:val="CharStyle20"/>
    <w:pPr>
      <w:widowControl w:val="0"/>
      <w:shd w:val="clear" w:color="auto" w:fill="FFFFFF"/>
      <w:spacing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Jiné"/>
    <w:basedOn w:val="Normal"/>
    <w:link w:val="CharStyle23"/>
    <w:pPr>
      <w:widowControl w:val="0"/>
      <w:shd w:val="clear" w:color="auto" w:fill="FFFFFF"/>
      <w:spacing w:after="100" w:line="25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