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469265" distB="0" distL="135890" distR="318770" simplePos="0" relativeHeight="125829378" behindDoc="0" locked="0" layoutInCell="1" allowOverlap="1">
            <wp:simplePos x="0" y="0"/>
            <wp:positionH relativeFrom="page">
              <wp:posOffset>5288280</wp:posOffset>
            </wp:positionH>
            <wp:positionV relativeFrom="paragraph">
              <wp:posOffset>481965</wp:posOffset>
            </wp:positionV>
            <wp:extent cx="1810385" cy="34734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1038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12700</wp:posOffset>
                </wp:positionV>
                <wp:extent cx="2035810" cy="4387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581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.69999999999999pt;margin-top:1.pt;width:160.30000000000001pt;height:34.54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</w:t>
      </w:r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č.29102/2019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 ) se řídí tímto zákonem.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strany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440" w:right="0" w:hanging="14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757" w:val="left"/>
        </w:tabs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Zastoupená statutárním zástupcem: Ing. Radovan Necid - ředitelem organizace Jednající ve věci: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±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vedoucí výrobního oddělení Jihlava,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658" w:val="left"/>
        </w:tabs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2491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 xml:space="preserve"> : 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658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cestmistrovství Jihlava : pan: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cestmistrvství Telč : 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ZARIS s.r.o.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Plzeňská 1972/168; 150 00 Praha 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Provozovna : CS Polná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30" w:lineRule="auto"/>
        <w:ind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Malá Cihelna 1096</w:t>
      </w:r>
      <w:bookmarkEnd w:id="6"/>
      <w:bookmarkEnd w:id="7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588 13 Polná</w:t>
      </w:r>
      <w:bookmarkEnd w:id="8"/>
      <w:bookmarkEnd w:id="9"/>
    </w:p>
    <w:p>
      <w:pPr>
        <w:pStyle w:val="Style20"/>
        <w:keepNext/>
        <w:keepLines/>
        <w:widowControl w:val="0"/>
        <w:shd w:val="clear" w:color="auto" w:fill="auto"/>
        <w:tabs>
          <w:tab w:pos="3904" w:val="left"/>
        </w:tabs>
        <w:bidi w:val="0"/>
        <w:spacing w:before="0" w:after="0" w:line="240" w:lineRule="auto"/>
        <w:ind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28448391</w:t>
        <w:tab/>
        <w:t>DIČ : CZ28448391</w:t>
      </w:r>
      <w:bookmarkEnd w:id="10"/>
      <w:bookmarkEnd w:id="11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500" w:line="240" w:lineRule="auto"/>
        <w:ind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: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Il.Předmět smlouvy</w:t>
      </w:r>
    </w:p>
    <w:p>
      <w:pPr>
        <w:pStyle w:val="Style1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06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Popis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díla:Zimní údržba MK na čerpací stanici Zaris Polná : délka 500,OOm.</w:t>
      </w:r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ZÚ : odstranění sněhu pomocí traktorové radlice.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1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Pouze na telefonní výzvu odpovědnou osobou : tel. disp. ZÚ Jihlava:567 117 117</w:t>
      </w:r>
    </w:p>
    <w:p>
      <w:pPr>
        <w:pStyle w:val="Style2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after="50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 díla : dle skutečné potřeby.</w:t>
      </w:r>
      <w:bookmarkEnd w:id="16"/>
      <w:bookmarkEnd w:id="17"/>
    </w:p>
    <w:p>
      <w:pPr>
        <w:pStyle w:val="Style1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64" w:val="left"/>
        </w:tabs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Doba plnění</w:t>
      </w:r>
      <w:bookmarkEnd w:id="18"/>
      <w:bookmarkEnd w:id="1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31.3.2020</w:t>
      </w:r>
    </w:p>
    <w:p>
      <w:pPr>
        <w:pStyle w:val="Style1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54" w:val="left"/>
        </w:tabs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 díla</w:t>
      </w:r>
      <w:bookmarkEnd w:id="20"/>
      <w:bookmarkEnd w:id="21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 První faktura za provedené práce bude vystavena za období listopad - prosinec 2019.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faktura za provedené práce bude vystavena za období leden - březen 2020.</w:t>
      </w:r>
    </w:p>
    <w:p>
      <w:pPr>
        <w:pStyle w:val="Style1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44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Fakturační a platební podmínky</w:t>
      </w:r>
      <w:bookmarkEnd w:id="22"/>
      <w:bookmarkEnd w:id="23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3" w:val="left"/>
        </w:tabs>
        <w:bidi w:val="0"/>
        <w:spacing w:before="0" w:line="262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3" w:val="left"/>
        </w:tabs>
        <w:bidi w:val="0"/>
        <w:spacing w:before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smlouvy o dílo.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3" w:val="left"/>
        </w:tabs>
        <w:bidi w:val="0"/>
        <w:spacing w:before="0" w:line="257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dlužné částky za každý den prodlení. Tím není dotčeno právo na náhradu škody a úhradu běžného úroku.</w:t>
      </w:r>
    </w:p>
    <w:p>
      <w:pPr>
        <w:pStyle w:val="Style1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93" w:val="left"/>
        </w:tabs>
        <w:bidi w:val="0"/>
        <w:spacing w:before="0" w:after="20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a účinnost smlouvy</w:t>
      </w:r>
      <w:bookmarkEnd w:id="24"/>
      <w:bookmarkEnd w:id="25"/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3" w:val="left"/>
        </w:tabs>
        <w:bidi w:val="0"/>
        <w:spacing w:before="0" w:after="44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1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 w:after="20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26"/>
      <w:bookmarkEnd w:id="27"/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3" w:val="left"/>
        </w:tabs>
        <w:bidi w:val="0"/>
        <w:spacing w:before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3" w:val="left"/>
        </w:tabs>
        <w:bidi w:val="0"/>
        <w:spacing w:before="0" w:after="1600" w:line="23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tbl>
      <w:tblPr>
        <w:tblOverlap w:val="never"/>
        <w:jc w:val="left"/>
        <w:tblLayout w:type="fixed"/>
      </w:tblPr>
      <w:tblGrid>
        <w:gridCol w:w="4214"/>
        <w:gridCol w:w="4982"/>
      </w:tblGrid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Jihlavě dne : 24.10.2019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Polné dne : 24.10.2019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zhotovitele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objednatele :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 — ředitel organizace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provozní čerpací stanice</w:t>
            </w:r>
          </w:p>
        </w:tc>
      </w:tr>
    </w:tbl>
    <w:p>
      <w:pPr>
        <w:widowControl w:val="0"/>
        <w:spacing w:after="8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19" w:left="727" w:right="1271" w:bottom="2187" w:header="91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3811270</wp:posOffset>
                </wp:positionH>
                <wp:positionV relativeFrom="paragraph">
                  <wp:posOffset>12700</wp:posOffset>
                </wp:positionV>
                <wp:extent cx="426720" cy="17081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0.10000000000002pt;margin-top:1.pt;width:33.600000000000001pt;height:13.4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4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25"/>
        <w:gridCol w:w="854"/>
        <w:gridCol w:w="2011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519" w:left="727" w:right="1271" w:bottom="2187" w:header="91" w:footer="175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9772015</wp:posOffset>
              </wp:positionV>
              <wp:extent cx="109855" cy="882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85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9.44999999999999pt;margin-top:769.45000000000005pt;width:8.6500000000000004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,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Nadpis #4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3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Jiné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0">
    <w:name w:val="Titulek tabulky_"/>
    <w:basedOn w:val="DefaultParagraphFont"/>
    <w:link w:val="Style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6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line="230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Nadpis #4"/>
    <w:basedOn w:val="Normal"/>
    <w:link w:val="CharStyle17"/>
    <w:pPr>
      <w:widowControl w:val="0"/>
      <w:shd w:val="clear" w:color="auto" w:fill="FFFFFF"/>
      <w:spacing w:after="22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spacing w:after="250"/>
      <w:ind w:left="136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FFFFFF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  <w:spacing w:after="380"/>
      <w:ind w:firstLine="27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9">
    <w:name w:val="Titulek tabulky"/>
    <w:basedOn w:val="Normal"/>
    <w:link w:val="CharStyle30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