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7F" w:rsidRPr="009644C9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03807" w:rsidRPr="009644C9">
        <w:rPr>
          <w:rFonts w:ascii="Arial" w:hAnsi="Arial" w:cs="Arial"/>
          <w:b/>
          <w:bCs/>
          <w:snapToGrid w:val="0"/>
          <w:sz w:val="24"/>
          <w:szCs w:val="28"/>
        </w:rPr>
        <w:t>56</w:t>
      </w:r>
      <w:r w:rsidR="00C93DBF" w:rsidRPr="009644C9">
        <w:rPr>
          <w:rFonts w:ascii="Arial" w:hAnsi="Arial" w:cs="Arial"/>
          <w:b/>
          <w:bCs/>
          <w:snapToGrid w:val="0"/>
          <w:sz w:val="24"/>
          <w:szCs w:val="28"/>
        </w:rPr>
        <w:t>0</w:t>
      </w:r>
      <w:r w:rsidR="0036253A" w:rsidRPr="009644C9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03807" w:rsidRPr="009644C9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36253A" w:rsidRPr="009644C9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6B2197">
        <w:rPr>
          <w:rFonts w:ascii="Arial" w:hAnsi="Arial" w:cs="Arial"/>
          <w:b/>
          <w:bCs/>
          <w:snapToGrid w:val="0"/>
          <w:sz w:val="24"/>
          <w:szCs w:val="28"/>
        </w:rPr>
        <w:t>9</w:t>
      </w:r>
    </w:p>
    <w:p w:rsidR="001D6550" w:rsidRPr="009644C9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č.j. SPU </w:t>
      </w:r>
      <w:r w:rsidR="0051498A">
        <w:rPr>
          <w:rFonts w:ascii="Arial" w:hAnsi="Arial" w:cs="Arial"/>
          <w:b/>
          <w:bCs/>
          <w:snapToGrid w:val="0"/>
          <w:sz w:val="24"/>
          <w:szCs w:val="28"/>
        </w:rPr>
        <w:t>408960</w:t>
      </w:r>
      <w:r w:rsidR="00C85C5E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725DFD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9644C9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56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0</w:t>
      </w:r>
      <w:r w:rsidR="0036253A" w:rsidRPr="009644C9">
        <w:rPr>
          <w:rFonts w:ascii="Arial" w:hAnsi="Arial" w:cs="Arial"/>
          <w:bCs/>
          <w:snapToGrid w:val="0"/>
          <w:sz w:val="22"/>
          <w:szCs w:val="24"/>
        </w:rPr>
        <w:t>-201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5</w:t>
      </w:r>
      <w:r w:rsidR="0036253A" w:rsidRPr="009644C9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1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4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7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15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9644C9">
        <w:rPr>
          <w:rFonts w:ascii="Arial" w:hAnsi="Arial" w:cs="Arial"/>
          <w:bCs/>
          <w:snapToGrid w:val="0"/>
          <w:sz w:val="22"/>
          <w:szCs w:val="24"/>
        </w:rPr>
        <w:t xml:space="preserve">vrhu KoPÚ v k.ú.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Vysoké Sedliště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jen ,,OZ</w:t>
      </w:r>
      <w:proofErr w:type="gramEnd"/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9644C9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AA6FB6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  <w:r w:rsidRPr="00AA6FB6">
        <w:rPr>
          <w:rFonts w:ascii="Arial" w:hAnsi="Arial" w:cs="Arial"/>
          <w:b/>
          <w:bCs/>
          <w:snapToGrid w:val="0"/>
          <w:sz w:val="22"/>
          <w:szCs w:val="24"/>
        </w:rPr>
        <w:t xml:space="preserve">1. </w:t>
      </w:r>
      <w:r w:rsidR="00D5607F" w:rsidRPr="00AA6FB6">
        <w:rPr>
          <w:rFonts w:ascii="Arial" w:hAnsi="Arial" w:cs="Arial"/>
          <w:b/>
          <w:bCs/>
          <w:snapToGrid w:val="0"/>
          <w:sz w:val="22"/>
          <w:szCs w:val="24"/>
        </w:rPr>
        <w:t>SMLUVNÍ STRANY:</w:t>
      </w:r>
    </w:p>
    <w:p w:rsidR="00D5607F" w:rsidRPr="009644C9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9644C9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bCs/>
          <w:sz w:val="22"/>
          <w:szCs w:val="24"/>
        </w:rPr>
        <w:t xml:space="preserve">O b j e d n a t e </w:t>
      </w:r>
      <w:proofErr w:type="gramStart"/>
      <w:r w:rsidRPr="009644C9">
        <w:rPr>
          <w:rFonts w:ascii="Arial" w:hAnsi="Arial" w:cs="Arial"/>
          <w:b/>
          <w:bCs/>
          <w:sz w:val="22"/>
          <w:szCs w:val="24"/>
        </w:rPr>
        <w:t>l :</w:t>
      </w:r>
      <w:proofErr w:type="gramEnd"/>
      <w:r w:rsidR="0036253A" w:rsidRPr="009644C9">
        <w:rPr>
          <w:rFonts w:ascii="Arial" w:hAnsi="Arial" w:cs="Arial"/>
          <w:b/>
          <w:bCs/>
          <w:sz w:val="22"/>
          <w:szCs w:val="24"/>
        </w:rPr>
        <w:t xml:space="preserve"> ČR - </w:t>
      </w:r>
      <w:r w:rsidRPr="009644C9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9644C9">
        <w:rPr>
          <w:rFonts w:ascii="Arial" w:hAnsi="Arial" w:cs="Arial"/>
          <w:sz w:val="22"/>
          <w:szCs w:val="24"/>
        </w:rPr>
        <w:t xml:space="preserve">, </w:t>
      </w:r>
      <w:r w:rsidRPr="009644C9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9644C9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9644C9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9644C9">
        <w:rPr>
          <w:rFonts w:ascii="Arial" w:hAnsi="Arial" w:cs="Arial"/>
          <w:sz w:val="22"/>
          <w:szCs w:val="24"/>
        </w:rPr>
        <w:t>J</w:t>
      </w:r>
      <w:r w:rsidRPr="009644C9">
        <w:rPr>
          <w:rFonts w:ascii="Arial" w:hAnsi="Arial" w:cs="Arial"/>
          <w:sz w:val="22"/>
          <w:szCs w:val="24"/>
        </w:rPr>
        <w:t xml:space="preserve">iří </w:t>
      </w:r>
      <w:r w:rsidR="000B46D4" w:rsidRPr="009644C9">
        <w:rPr>
          <w:rFonts w:ascii="Arial" w:hAnsi="Arial" w:cs="Arial"/>
          <w:sz w:val="22"/>
          <w:szCs w:val="24"/>
        </w:rPr>
        <w:t>P</w:t>
      </w:r>
      <w:r w:rsidRPr="009644C9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V technických záležitostech oprávněna jednat: </w:t>
      </w:r>
      <w:r w:rsidR="00D03807" w:rsidRPr="009644C9">
        <w:rPr>
          <w:rFonts w:ascii="Arial" w:hAnsi="Arial" w:cs="Arial"/>
          <w:sz w:val="22"/>
          <w:szCs w:val="24"/>
        </w:rPr>
        <w:t xml:space="preserve">Ing. </w:t>
      </w:r>
      <w:r w:rsidR="00C93DBF" w:rsidRPr="009644C9">
        <w:rPr>
          <w:rFonts w:ascii="Arial" w:hAnsi="Arial" w:cs="Arial"/>
          <w:sz w:val="22"/>
          <w:szCs w:val="24"/>
        </w:rPr>
        <w:t>Ivana Comová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Bankovní spojení</w:t>
      </w:r>
      <w:r w:rsidRPr="009644C9">
        <w:rPr>
          <w:rFonts w:ascii="Arial" w:hAnsi="Arial" w:cs="Arial"/>
          <w:sz w:val="22"/>
          <w:szCs w:val="24"/>
        </w:rPr>
        <w:t>: Česká národní banka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Číslo účtu</w:t>
      </w:r>
      <w:r w:rsidRPr="009644C9">
        <w:rPr>
          <w:rFonts w:ascii="Arial" w:hAnsi="Arial" w:cs="Arial"/>
          <w:sz w:val="22"/>
          <w:szCs w:val="24"/>
        </w:rPr>
        <w:t>: 3723001/0710</w:t>
      </w:r>
      <w:r w:rsidRPr="009644C9">
        <w:rPr>
          <w:rFonts w:ascii="Arial" w:hAnsi="Arial" w:cs="Arial"/>
          <w:sz w:val="22"/>
          <w:szCs w:val="24"/>
        </w:rPr>
        <w:tab/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IČ</w:t>
      </w:r>
      <w:r w:rsidRPr="009644C9">
        <w:rPr>
          <w:rFonts w:ascii="Arial" w:hAnsi="Arial" w:cs="Arial"/>
          <w:sz w:val="22"/>
          <w:szCs w:val="24"/>
        </w:rPr>
        <w:t xml:space="preserve">: </w:t>
      </w:r>
      <w:proofErr w:type="gramStart"/>
      <w:r w:rsidRPr="009644C9">
        <w:rPr>
          <w:rFonts w:ascii="Arial" w:hAnsi="Arial" w:cs="Arial"/>
          <w:sz w:val="22"/>
          <w:szCs w:val="24"/>
        </w:rPr>
        <w:t xml:space="preserve">01312774  </w:t>
      </w:r>
      <w:r w:rsidRPr="009644C9">
        <w:rPr>
          <w:rFonts w:ascii="Arial" w:hAnsi="Arial" w:cs="Arial"/>
          <w:b/>
          <w:sz w:val="22"/>
          <w:szCs w:val="24"/>
        </w:rPr>
        <w:t>DIČ</w:t>
      </w:r>
      <w:proofErr w:type="gramEnd"/>
      <w:r w:rsidRPr="009644C9">
        <w:rPr>
          <w:rFonts w:ascii="Arial" w:hAnsi="Arial" w:cs="Arial"/>
          <w:sz w:val="22"/>
          <w:szCs w:val="24"/>
        </w:rPr>
        <w:t>: CZ01312774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9644C9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9644C9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Adresa: </w:t>
      </w:r>
      <w:proofErr w:type="spellStart"/>
      <w:r w:rsidRPr="009644C9">
        <w:rPr>
          <w:rFonts w:ascii="Arial" w:hAnsi="Arial" w:cs="Arial"/>
          <w:sz w:val="22"/>
          <w:szCs w:val="24"/>
        </w:rPr>
        <w:t>T.G.Masaryka</w:t>
      </w:r>
      <w:proofErr w:type="spellEnd"/>
      <w:r w:rsidRPr="009644C9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9644C9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Zasto</w:t>
      </w:r>
      <w:r w:rsidR="00D5607F" w:rsidRPr="009644C9">
        <w:rPr>
          <w:rFonts w:ascii="Arial" w:hAnsi="Arial" w:cs="Arial"/>
          <w:sz w:val="22"/>
          <w:szCs w:val="24"/>
        </w:rPr>
        <w:t xml:space="preserve">upený: </w:t>
      </w:r>
      <w:r w:rsidR="00F635ED" w:rsidRPr="009644C9">
        <w:rPr>
          <w:rFonts w:ascii="Arial" w:hAnsi="Arial" w:cs="Arial"/>
          <w:sz w:val="22"/>
          <w:szCs w:val="24"/>
        </w:rPr>
        <w:t xml:space="preserve">Bc. Olgou </w:t>
      </w:r>
      <w:r w:rsidR="0051498A">
        <w:rPr>
          <w:rFonts w:ascii="Arial" w:hAnsi="Arial" w:cs="Arial"/>
          <w:sz w:val="22"/>
          <w:szCs w:val="24"/>
        </w:rPr>
        <w:t>Chvátalovou</w:t>
      </w:r>
      <w:r w:rsidR="00D5607F" w:rsidRPr="009644C9">
        <w:rPr>
          <w:rFonts w:ascii="Arial" w:hAnsi="Arial" w:cs="Arial"/>
          <w:sz w:val="22"/>
          <w:szCs w:val="24"/>
        </w:rPr>
        <w:t xml:space="preserve">, vedoucí pobočky </w:t>
      </w:r>
      <w:r w:rsidRPr="009644C9">
        <w:rPr>
          <w:rFonts w:ascii="Arial" w:hAnsi="Arial" w:cs="Arial"/>
          <w:sz w:val="22"/>
          <w:szCs w:val="24"/>
        </w:rPr>
        <w:t>Tachov</w:t>
      </w:r>
    </w:p>
    <w:p w:rsidR="00D5607F" w:rsidRPr="009644C9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4"/>
        </w:rPr>
      </w:pPr>
      <w:r w:rsidRPr="009644C9">
        <w:rPr>
          <w:rFonts w:ascii="Arial" w:hAnsi="Arial" w:cs="Arial"/>
          <w:iCs/>
          <w:sz w:val="22"/>
          <w:szCs w:val="24"/>
        </w:rPr>
        <w:tab/>
      </w:r>
    </w:p>
    <w:p w:rsidR="00D5607F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a</w:t>
      </w:r>
    </w:p>
    <w:p w:rsidR="00D5607F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7268AB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Z h o t o v i t e l:</w:t>
      </w:r>
    </w:p>
    <w:p w:rsidR="00D5607F" w:rsidRPr="009644C9" w:rsidRDefault="00C93DB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Ing. Helena Krausová</w:t>
      </w:r>
    </w:p>
    <w:p w:rsidR="00D5607F" w:rsidRPr="009644C9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9644C9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proofErr w:type="spellStart"/>
      <w:r w:rsidR="0031742D">
        <w:rPr>
          <w:rFonts w:ascii="Arial" w:hAnsi="Arial" w:cs="Arial"/>
          <w:bCs/>
          <w:snapToGrid w:val="0"/>
          <w:sz w:val="22"/>
          <w:szCs w:val="24"/>
        </w:rPr>
        <w:t>xxxxxx</w:t>
      </w:r>
      <w:proofErr w:type="spellEnd"/>
      <w:r w:rsidR="0031742D">
        <w:rPr>
          <w:rFonts w:ascii="Arial" w:hAnsi="Arial" w:cs="Arial"/>
          <w:bCs/>
          <w:snapToGrid w:val="0"/>
          <w:sz w:val="22"/>
          <w:szCs w:val="24"/>
        </w:rPr>
        <w:t xml:space="preserve">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326 00 Plzeň</w:t>
      </w:r>
    </w:p>
    <w:p w:rsidR="007268AB" w:rsidRPr="009644C9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Helenou Krausovou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4B0A5C" w:rsidRPr="009644C9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Ve smluvních záležitostech oprávněn jednat:</w:t>
      </w:r>
      <w:r w:rsidR="004B0A5C" w:rsidRPr="009644C9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r w:rsidR="004B0A5C" w:rsidRPr="009644C9">
        <w:rPr>
          <w:rFonts w:ascii="Arial" w:hAnsi="Arial" w:cs="Arial"/>
          <w:bCs/>
          <w:snapToGrid w:val="0"/>
          <w:sz w:val="22"/>
          <w:szCs w:val="24"/>
        </w:rPr>
        <w:t xml:space="preserve">Ing.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Helena Krausová</w:t>
      </w:r>
    </w:p>
    <w:p w:rsidR="00D5607F" w:rsidRPr="009644C9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9644C9">
        <w:rPr>
          <w:rFonts w:ascii="Arial" w:hAnsi="Arial" w:cs="Arial"/>
          <w:b w:val="0"/>
          <w:sz w:val="22"/>
        </w:rPr>
        <w:t>V technických záležitostech oprávněn jednat:</w:t>
      </w:r>
    </w:p>
    <w:p w:rsidR="00D5607F" w:rsidRPr="009644C9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9644C9">
        <w:rPr>
          <w:rFonts w:ascii="Arial" w:hAnsi="Arial" w:cs="Arial"/>
          <w:bCs/>
          <w:sz w:val="22"/>
          <w:szCs w:val="24"/>
        </w:rPr>
        <w:t xml:space="preserve">Bankovní spojení: </w:t>
      </w:r>
      <w:proofErr w:type="spellStart"/>
      <w:r w:rsidR="0031742D">
        <w:rPr>
          <w:rFonts w:ascii="Arial" w:hAnsi="Arial" w:cs="Arial"/>
          <w:bCs/>
          <w:sz w:val="22"/>
          <w:szCs w:val="24"/>
        </w:rPr>
        <w:t>xxxxxx</w:t>
      </w:r>
      <w:proofErr w:type="spellEnd"/>
    </w:p>
    <w:p w:rsidR="00D5607F" w:rsidRPr="009644C9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9644C9">
        <w:rPr>
          <w:rFonts w:ascii="Arial" w:hAnsi="Arial" w:cs="Arial"/>
          <w:b w:val="0"/>
          <w:sz w:val="22"/>
        </w:rPr>
        <w:t xml:space="preserve">Číslo účtu: </w:t>
      </w:r>
      <w:proofErr w:type="spellStart"/>
      <w:r w:rsidR="0031742D">
        <w:rPr>
          <w:rFonts w:ascii="Arial" w:hAnsi="Arial" w:cs="Arial"/>
          <w:b w:val="0"/>
          <w:sz w:val="22"/>
        </w:rPr>
        <w:t>xxxxxx</w:t>
      </w:r>
      <w:proofErr w:type="spellEnd"/>
    </w:p>
    <w:p w:rsidR="007268AB" w:rsidRPr="009644C9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IČ: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72274433</w:t>
      </w:r>
    </w:p>
    <w:p w:rsidR="009644C9" w:rsidRDefault="009644C9" w:rsidP="007268AB">
      <w:pPr>
        <w:tabs>
          <w:tab w:val="left" w:pos="1985"/>
        </w:tabs>
        <w:jc w:val="both"/>
        <w:rPr>
          <w:sz w:val="24"/>
          <w:szCs w:val="24"/>
        </w:rPr>
      </w:pPr>
    </w:p>
    <w:p w:rsidR="00FB6ABC" w:rsidRDefault="009644C9" w:rsidP="00FB6ABC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§ 222 odst. </w:t>
      </w:r>
      <w:r w:rsidR="00285A7B">
        <w:rPr>
          <w:rFonts w:ascii="Arial" w:hAnsi="Arial" w:cs="Arial"/>
          <w:bCs/>
          <w:sz w:val="22"/>
          <w:szCs w:val="22"/>
        </w:rPr>
        <w:t>4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</w:t>
      </w:r>
      <w:r w:rsidR="00FB6ABC" w:rsidRPr="002B076E">
        <w:rPr>
          <w:rFonts w:ascii="Arial" w:hAnsi="Arial" w:cs="Arial"/>
          <w:bCs/>
          <w:sz w:val="22"/>
          <w:szCs w:val="22"/>
        </w:rPr>
        <w:t xml:space="preserve">a na základě </w:t>
      </w:r>
      <w:r w:rsidR="00FB6ABC">
        <w:rPr>
          <w:rFonts w:ascii="Arial" w:hAnsi="Arial" w:cs="Arial"/>
          <w:bCs/>
          <w:sz w:val="22"/>
          <w:szCs w:val="22"/>
        </w:rPr>
        <w:t>písemného žádosti zpracovatele</w:t>
      </w:r>
      <w:r w:rsidR="00FB6ABC" w:rsidRPr="002B076E">
        <w:rPr>
          <w:rFonts w:ascii="Arial" w:hAnsi="Arial" w:cs="Arial"/>
          <w:bCs/>
          <w:sz w:val="22"/>
          <w:szCs w:val="22"/>
        </w:rPr>
        <w:t xml:space="preserve"> tento dodatek ke smlouvě o dílo (SOD):</w:t>
      </w:r>
    </w:p>
    <w:p w:rsidR="00FB6ABC" w:rsidRPr="002B076E" w:rsidRDefault="00FB6ABC" w:rsidP="00FB6ABC">
      <w:pPr>
        <w:jc w:val="both"/>
        <w:rPr>
          <w:rFonts w:ascii="Arial" w:hAnsi="Arial" w:cs="Arial"/>
          <w:bCs/>
          <w:sz w:val="22"/>
          <w:szCs w:val="22"/>
        </w:rPr>
      </w:pPr>
    </w:p>
    <w:p w:rsidR="0051498A" w:rsidRPr="00FB6ABC" w:rsidRDefault="001B2562" w:rsidP="0051498A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t xml:space="preserve">2. </w:t>
      </w:r>
      <w:r w:rsidR="0051498A" w:rsidRPr="00FB6ABC">
        <w:rPr>
          <w:rFonts w:ascii="Arial" w:hAnsi="Arial" w:cs="Arial"/>
          <w:b/>
          <w:caps/>
          <w:sz w:val="22"/>
          <w:szCs w:val="24"/>
        </w:rPr>
        <w:t>Upřesnění POčtu měrných jednotek</w:t>
      </w:r>
    </w:p>
    <w:p w:rsidR="001B2562" w:rsidRDefault="001B2562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1B2562" w:rsidRDefault="001B2562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51498A" w:rsidRDefault="0051498A" w:rsidP="0051498A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2.1. </w:t>
      </w:r>
      <w:r w:rsidRPr="00F8523B">
        <w:rPr>
          <w:rFonts w:ascii="Arial" w:hAnsi="Arial" w:cs="Arial"/>
          <w:bCs/>
          <w:sz w:val="22"/>
          <w:szCs w:val="22"/>
        </w:rPr>
        <w:t xml:space="preserve">Na základě </w:t>
      </w:r>
      <w:r>
        <w:rPr>
          <w:rFonts w:ascii="Arial" w:hAnsi="Arial" w:cs="Arial"/>
          <w:bCs/>
          <w:sz w:val="22"/>
          <w:szCs w:val="22"/>
        </w:rPr>
        <w:t xml:space="preserve">záznamu o </w:t>
      </w:r>
      <w:proofErr w:type="spellStart"/>
      <w:r>
        <w:rPr>
          <w:rFonts w:ascii="Arial" w:hAnsi="Arial" w:cs="Arial"/>
          <w:bCs/>
          <w:sz w:val="22"/>
          <w:szCs w:val="22"/>
        </w:rPr>
        <w:t>méněprac</w:t>
      </w:r>
      <w:r w:rsidR="001A2446">
        <w:rPr>
          <w:rFonts w:ascii="Arial" w:hAnsi="Arial" w:cs="Arial"/>
          <w:bCs/>
          <w:sz w:val="22"/>
          <w:szCs w:val="22"/>
        </w:rPr>
        <w:t>í</w:t>
      </w:r>
      <w:r>
        <w:rPr>
          <w:rFonts w:ascii="Arial" w:hAnsi="Arial" w:cs="Arial"/>
          <w:bCs/>
          <w:sz w:val="22"/>
          <w:szCs w:val="22"/>
        </w:rPr>
        <w:t>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č.j. SPU 403292/2019 se </w:t>
      </w:r>
      <w:r w:rsidRPr="00F8523B">
        <w:rPr>
          <w:rFonts w:ascii="Arial" w:hAnsi="Arial" w:cs="Arial"/>
          <w:bCs/>
          <w:sz w:val="22"/>
          <w:szCs w:val="22"/>
        </w:rPr>
        <w:t>upřesňuje počet měrných jednotek (MJ) uvedených v příloze č. 1 ke S</w:t>
      </w:r>
      <w:r>
        <w:rPr>
          <w:rFonts w:ascii="Arial" w:hAnsi="Arial" w:cs="Arial"/>
          <w:bCs/>
          <w:sz w:val="22"/>
          <w:szCs w:val="22"/>
        </w:rPr>
        <w:t>O</w:t>
      </w:r>
      <w:r w:rsidRPr="00F8523B">
        <w:rPr>
          <w:rFonts w:ascii="Arial" w:hAnsi="Arial" w:cs="Arial"/>
          <w:bCs/>
          <w:sz w:val="22"/>
          <w:szCs w:val="22"/>
        </w:rPr>
        <w:t xml:space="preserve">D, </w:t>
      </w:r>
      <w:r w:rsidRPr="0023040C">
        <w:rPr>
          <w:rFonts w:ascii="Arial" w:hAnsi="Arial" w:cs="Arial"/>
          <w:sz w:val="22"/>
          <w:lang w:eastAsia="ar-SA"/>
        </w:rPr>
        <w:t>hlavní celek 3.</w:t>
      </w:r>
      <w:r>
        <w:rPr>
          <w:rFonts w:ascii="Arial" w:hAnsi="Arial" w:cs="Arial"/>
          <w:sz w:val="22"/>
          <w:lang w:eastAsia="ar-SA"/>
        </w:rPr>
        <w:t>4.</w:t>
      </w:r>
      <w:r w:rsidRPr="0023040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Vytyčení pozemků dle zapsané DKM</w:t>
      </w:r>
      <w:r w:rsidR="001A2446">
        <w:rPr>
          <w:rFonts w:ascii="Arial" w:hAnsi="Arial" w:cs="Arial"/>
          <w:sz w:val="22"/>
          <w:lang w:eastAsia="ar-SA"/>
        </w:rPr>
        <w:t xml:space="preserve">, dle žádostí účastníků řízení, </w:t>
      </w:r>
      <w:r w:rsidRPr="00F8523B">
        <w:rPr>
          <w:rFonts w:ascii="Arial" w:hAnsi="Arial" w:cs="Arial"/>
          <w:sz w:val="22"/>
          <w:szCs w:val="22"/>
        </w:rPr>
        <w:t>se mění takto:</w:t>
      </w:r>
    </w:p>
    <w:p w:rsidR="00FB724D" w:rsidRDefault="00FB724D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FB6ABC" w:rsidRPr="00FB6ABC" w:rsidRDefault="00FB6ABC" w:rsidP="00FB6AB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FB6ABC" w:rsidRPr="00FB6ABC" w:rsidTr="007835D4">
        <w:tc>
          <w:tcPr>
            <w:tcW w:w="3452" w:type="dxa"/>
          </w:tcPr>
          <w:p w:rsidR="00FB6ABC" w:rsidRPr="00FB6ABC" w:rsidRDefault="00FB6ABC" w:rsidP="007835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ABC">
              <w:rPr>
                <w:rFonts w:ascii="Arial" w:hAnsi="Arial" w:cs="Arial"/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  <w:vAlign w:val="center"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6ABC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6ABC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6ABC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FB6ABC" w:rsidRPr="00FB6ABC" w:rsidTr="007835D4">
        <w:tc>
          <w:tcPr>
            <w:tcW w:w="3452" w:type="dxa"/>
            <w:vAlign w:val="center"/>
          </w:tcPr>
          <w:p w:rsidR="00FB6ABC" w:rsidRPr="00FB6ABC" w:rsidRDefault="0051498A" w:rsidP="00783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vytyčení pozemků dle zapsané DKM</w:t>
            </w:r>
          </w:p>
        </w:tc>
        <w:tc>
          <w:tcPr>
            <w:tcW w:w="1149" w:type="dxa"/>
            <w:vAlign w:val="center"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 100 </w:t>
            </w:r>
            <w:proofErr w:type="spellStart"/>
            <w:r w:rsidRPr="00FB6AB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FB6ABC" w:rsidRPr="00FB6ABC" w:rsidRDefault="0051498A" w:rsidP="007835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2298" w:type="dxa"/>
            <w:vAlign w:val="center"/>
          </w:tcPr>
          <w:p w:rsidR="00FB6ABC" w:rsidRPr="00FB6ABC" w:rsidRDefault="0051498A" w:rsidP="007835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145</w:t>
            </w:r>
          </w:p>
        </w:tc>
      </w:tr>
    </w:tbl>
    <w:p w:rsidR="001B2562" w:rsidRDefault="001B2562" w:rsidP="00285A7B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285A7B" w:rsidRDefault="00285A7B" w:rsidP="00285A7B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233D0">
        <w:rPr>
          <w:rFonts w:ascii="Arial" w:hAnsi="Arial" w:cs="Arial"/>
          <w:sz w:val="22"/>
          <w:szCs w:val="22"/>
          <w:lang w:eastAsia="ar-SA"/>
        </w:rPr>
        <w:t>Současně se mění cena</w:t>
      </w:r>
      <w:r w:rsidRPr="00B233D0">
        <w:rPr>
          <w:rFonts w:ascii="Arial" w:hAnsi="Arial" w:cs="Arial"/>
          <w:bCs/>
          <w:sz w:val="24"/>
          <w:szCs w:val="24"/>
        </w:rPr>
        <w:t xml:space="preserve"> díla uvedená v příloze č. 1 </w:t>
      </w:r>
      <w:proofErr w:type="gramStart"/>
      <w:r w:rsidRPr="00B233D0">
        <w:rPr>
          <w:rFonts w:ascii="Arial" w:hAnsi="Arial" w:cs="Arial"/>
          <w:bCs/>
          <w:sz w:val="24"/>
          <w:szCs w:val="24"/>
        </w:rPr>
        <w:t>SOD,</w:t>
      </w:r>
      <w:r w:rsidRPr="00B233D0">
        <w:rPr>
          <w:rFonts w:ascii="Arial" w:hAnsi="Arial" w:cs="Arial"/>
          <w:sz w:val="22"/>
          <w:szCs w:val="22"/>
          <w:lang w:eastAsia="ar-SA"/>
        </w:rPr>
        <w:t xml:space="preserve">  a</w:t>
      </w:r>
      <w:proofErr w:type="gramEnd"/>
      <w:r w:rsidRPr="00B233D0">
        <w:rPr>
          <w:rFonts w:ascii="Arial" w:hAnsi="Arial" w:cs="Arial"/>
          <w:sz w:val="22"/>
          <w:szCs w:val="22"/>
          <w:lang w:eastAsia="ar-SA"/>
        </w:rPr>
        <w:t xml:space="preserve"> to v důsledku změny rozsahu díla, který je vyvolán uplatněním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méně</w:t>
      </w:r>
      <w:r w:rsidR="001A2446">
        <w:rPr>
          <w:rFonts w:ascii="Arial" w:hAnsi="Arial" w:cs="Arial"/>
          <w:sz w:val="22"/>
          <w:szCs w:val="22"/>
          <w:lang w:eastAsia="ar-SA"/>
        </w:rPr>
        <w:t>pracích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233D0">
        <w:rPr>
          <w:rFonts w:ascii="Arial" w:hAnsi="Arial" w:cs="Arial"/>
          <w:sz w:val="22"/>
          <w:szCs w:val="22"/>
          <w:lang w:eastAsia="ar-SA"/>
        </w:rPr>
        <w:t>takto:</w:t>
      </w:r>
    </w:p>
    <w:p w:rsidR="00FB6ABC" w:rsidRPr="00FB6ABC" w:rsidRDefault="00FB6ABC" w:rsidP="00FB6ABC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9203" w:type="dxa"/>
        <w:tblLook w:val="04A0" w:firstRow="1" w:lastRow="0" w:firstColumn="1" w:lastColumn="0" w:noHBand="0" w:noVBand="1"/>
      </w:tblPr>
      <w:tblGrid>
        <w:gridCol w:w="3067"/>
        <w:gridCol w:w="3064"/>
        <w:gridCol w:w="3072"/>
      </w:tblGrid>
      <w:tr w:rsidR="00285A7B" w:rsidRPr="00B233D0" w:rsidTr="00285A7B">
        <w:trPr>
          <w:trHeight w:hRule="exact" w:val="817"/>
        </w:trPr>
        <w:tc>
          <w:tcPr>
            <w:tcW w:w="3067" w:type="dxa"/>
            <w:hideMark/>
          </w:tcPr>
          <w:p w:rsidR="00285A7B" w:rsidRPr="00B233D0" w:rsidRDefault="00285A7B" w:rsidP="007835D4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3064" w:type="dxa"/>
            <w:hideMark/>
          </w:tcPr>
          <w:p w:rsidR="00285A7B" w:rsidRPr="00B233D0" w:rsidRDefault="00285A7B" w:rsidP="007835D4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Původní </w:t>
            </w:r>
            <w:proofErr w:type="gramStart"/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cena  v</w:t>
            </w:r>
            <w:proofErr w:type="gramEnd"/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 Kč bez DPH</w:t>
            </w:r>
          </w:p>
        </w:tc>
        <w:tc>
          <w:tcPr>
            <w:tcW w:w="3072" w:type="dxa"/>
          </w:tcPr>
          <w:p w:rsidR="00285A7B" w:rsidRPr="00B233D0" w:rsidRDefault="00285A7B" w:rsidP="007835D4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285A7B" w:rsidRPr="00B233D0" w:rsidTr="00285A7B">
        <w:trPr>
          <w:trHeight w:hRule="exact" w:val="817"/>
        </w:trPr>
        <w:tc>
          <w:tcPr>
            <w:tcW w:w="3067" w:type="dxa"/>
            <w:vAlign w:val="center"/>
            <w:hideMark/>
          </w:tcPr>
          <w:p w:rsidR="00285A7B" w:rsidRPr="00DA061D" w:rsidRDefault="00285A7B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lastRenderedPageBreak/>
              <w:t>3.</w:t>
            </w:r>
            <w:r w:rsidR="0051498A">
              <w:rPr>
                <w:rFonts w:ascii="Arial" w:hAnsi="Arial" w:cs="Arial"/>
                <w:bCs/>
                <w:szCs w:val="24"/>
                <w:lang w:eastAsia="ar-SA"/>
              </w:rPr>
              <w:t>4.</w:t>
            </w:r>
          </w:p>
        </w:tc>
        <w:tc>
          <w:tcPr>
            <w:tcW w:w="3064" w:type="dxa"/>
            <w:vAlign w:val="center"/>
          </w:tcPr>
          <w:p w:rsidR="00285A7B" w:rsidRPr="00DA061D" w:rsidRDefault="0051498A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33</w:t>
            </w:r>
            <w:r w:rsidR="00285A7B">
              <w:rPr>
                <w:rFonts w:ascii="Arial" w:hAnsi="Arial" w:cs="Arial"/>
                <w:bCs/>
                <w:szCs w:val="24"/>
                <w:lang w:eastAsia="ar-SA"/>
              </w:rPr>
              <w:t> 000,00</w:t>
            </w:r>
          </w:p>
        </w:tc>
        <w:tc>
          <w:tcPr>
            <w:tcW w:w="3072" w:type="dxa"/>
            <w:vAlign w:val="center"/>
          </w:tcPr>
          <w:p w:rsidR="00285A7B" w:rsidRPr="00DA061D" w:rsidRDefault="00285A7B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</w:t>
            </w:r>
            <w:r w:rsidR="0051498A">
              <w:rPr>
                <w:rFonts w:ascii="Arial" w:hAnsi="Arial" w:cs="Arial"/>
                <w:bCs/>
                <w:szCs w:val="24"/>
                <w:lang w:eastAsia="ar-SA"/>
              </w:rPr>
              <w:t>1</w:t>
            </w:r>
            <w:r>
              <w:rPr>
                <w:rFonts w:ascii="Arial" w:hAnsi="Arial" w:cs="Arial"/>
                <w:bCs/>
                <w:szCs w:val="24"/>
                <w:lang w:eastAsia="ar-SA"/>
              </w:rPr>
              <w:t> </w:t>
            </w:r>
            <w:r w:rsidR="0051498A">
              <w:rPr>
                <w:rFonts w:ascii="Arial" w:hAnsi="Arial" w:cs="Arial"/>
                <w:bCs/>
                <w:szCs w:val="24"/>
                <w:lang w:eastAsia="ar-SA"/>
              </w:rPr>
              <w:t>9</w:t>
            </w:r>
            <w:r>
              <w:rPr>
                <w:rFonts w:ascii="Arial" w:hAnsi="Arial" w:cs="Arial"/>
                <w:bCs/>
                <w:szCs w:val="24"/>
                <w:lang w:eastAsia="ar-SA"/>
              </w:rPr>
              <w:t>00,00</w:t>
            </w:r>
          </w:p>
        </w:tc>
      </w:tr>
    </w:tbl>
    <w:p w:rsidR="00FB6ABC" w:rsidRPr="00FB6ABC" w:rsidRDefault="00FB6ABC" w:rsidP="00FB6ABC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B6ABC" w:rsidRPr="00285A7B" w:rsidRDefault="00FB6ABC" w:rsidP="00FB6ABC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285A7B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6.2 se mění část tabulky „Příloha č.1- Výkaz činností ke stanovení nabídkové ceny, část 1 – Vysoké Sedliště ke smlouvě takto:</w:t>
      </w:r>
    </w:p>
    <w:p w:rsidR="00FB6ABC" w:rsidRPr="00FB6ABC" w:rsidRDefault="00FB6ABC" w:rsidP="00FB6ABC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416"/>
        <w:gridCol w:w="810"/>
        <w:gridCol w:w="697"/>
        <w:gridCol w:w="676"/>
        <w:gridCol w:w="1942"/>
        <w:gridCol w:w="1789"/>
      </w:tblGrid>
      <w:tr w:rsidR="00FB6ABC" w:rsidRPr="00FB6ABC" w:rsidTr="007835D4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Cena za MJ bez</w:t>
            </w:r>
            <w:r w:rsidRPr="00FB6ABC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Cena bez DPH</w:t>
            </w:r>
            <w:r w:rsidRPr="00FB6ABC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Termín ukončení</w:t>
            </w:r>
            <w:r w:rsidRPr="00FB6ABC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FB6ABC" w:rsidRPr="00FB6ABC" w:rsidTr="007835D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B6ABC" w:rsidRPr="00FB6ABC" w:rsidTr="007835D4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25 000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28.2.2016</w:t>
            </w:r>
          </w:p>
        </w:tc>
      </w:tr>
      <w:tr w:rsidR="00FB6ABC" w:rsidRPr="00FB6ABC" w:rsidTr="007835D4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</w:tr>
      <w:tr w:rsidR="00FB6ABC" w:rsidRPr="00FB6ABC" w:rsidTr="007835D4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Podrobné zaměření polohopisu v obvodu </w:t>
            </w:r>
            <w:proofErr w:type="spellStart"/>
            <w:r w:rsidRPr="00FB6ABC">
              <w:rPr>
                <w:rFonts w:ascii="Arial" w:hAnsi="Arial" w:cs="Arial"/>
              </w:rPr>
              <w:t>KoPÚ</w:t>
            </w:r>
            <w:proofErr w:type="spellEnd"/>
            <w:r w:rsidRPr="00FB6ABC">
              <w:rPr>
                <w:rFonts w:ascii="Arial" w:hAnsi="Arial" w:cs="Arial"/>
              </w:rPr>
              <w:t xml:space="preserve"> v trvalých porostech i mimo trvalé porosty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280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140 000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28.2.2016</w:t>
            </w:r>
          </w:p>
        </w:tc>
      </w:tr>
      <w:tr w:rsidR="00FB6ABC" w:rsidRPr="00FB6ABC" w:rsidTr="007835D4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</w:tr>
      <w:tr w:rsidR="00FB6ABC" w:rsidRPr="00FB6ABC" w:rsidTr="007835D4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33 600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30.6.2016</w:t>
            </w:r>
          </w:p>
        </w:tc>
      </w:tr>
      <w:tr w:rsidR="00FB6ABC" w:rsidRPr="00FB6ABC" w:rsidTr="007835D4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Vodohospodářská studie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</w:tr>
      <w:tr w:rsidR="003B5EBC" w:rsidRPr="00FB6ABC" w:rsidTr="003B5EBC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Upřesnění obvodu </w:t>
            </w:r>
            <w:proofErr w:type="spellStart"/>
            <w:r w:rsidRPr="00FB6ABC">
              <w:rPr>
                <w:rFonts w:ascii="Arial" w:hAnsi="Arial" w:cs="Arial"/>
              </w:rPr>
              <w:t>KoPÚ</w:t>
            </w:r>
            <w:proofErr w:type="spellEnd"/>
            <w:r w:rsidRPr="00FB6ABC">
              <w:rPr>
                <w:rFonts w:ascii="Arial" w:hAnsi="Arial" w:cs="Arial"/>
              </w:rPr>
              <w:t xml:space="preserve"> - zjišťování hranic pozemků na hranicích obvodu </w:t>
            </w:r>
            <w:proofErr w:type="spellStart"/>
            <w:r w:rsidRPr="00FB6ABC">
              <w:rPr>
                <w:rFonts w:ascii="Arial" w:hAnsi="Arial" w:cs="Arial"/>
              </w:rPr>
              <w:t>KoPÚ</w:t>
            </w:r>
            <w:proofErr w:type="spellEnd"/>
            <w:r w:rsidRPr="00FB6ABC">
              <w:rPr>
                <w:rFonts w:ascii="Arial" w:hAnsi="Arial" w:cs="Arial"/>
              </w:rPr>
              <w:t xml:space="preserve">, geometrické plány na upřesněný obvod </w:t>
            </w:r>
            <w:proofErr w:type="spellStart"/>
            <w:r w:rsidRPr="00FB6ABC">
              <w:rPr>
                <w:rFonts w:ascii="Arial" w:hAnsi="Arial" w:cs="Arial"/>
              </w:rPr>
              <w:t>KoPU</w:t>
            </w:r>
            <w:proofErr w:type="spellEnd"/>
            <w:r w:rsidRPr="00FB6ABC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FB6ABC">
              <w:rPr>
                <w:rFonts w:ascii="Arial" w:hAnsi="Arial" w:cs="Arial"/>
              </w:rPr>
              <w:t>vyhl</w:t>
            </w:r>
            <w:proofErr w:type="spellEnd"/>
            <w:r w:rsidRPr="00FB6ABC">
              <w:rPr>
                <w:rFonts w:ascii="Arial" w:hAnsi="Arial" w:cs="Arial"/>
              </w:rPr>
              <w:t>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 100 </w:t>
            </w:r>
            <w:proofErr w:type="spellStart"/>
            <w:r w:rsidRPr="00FB6AB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69 120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31.10.2016</w:t>
            </w:r>
          </w:p>
        </w:tc>
      </w:tr>
      <w:tr w:rsidR="00FB6ABC" w:rsidRPr="00FB6ABC" w:rsidTr="007835D4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 100 </w:t>
            </w:r>
            <w:proofErr w:type="spellStart"/>
            <w:r w:rsidRPr="00FB6AB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</w:tr>
      <w:tr w:rsidR="00FB6ABC" w:rsidRPr="00FB6ABC" w:rsidTr="007835D4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64 320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31.1.2017</w:t>
            </w:r>
          </w:p>
        </w:tc>
      </w:tr>
      <w:tr w:rsidR="00FB6ABC" w:rsidRPr="00FB6ABC" w:rsidTr="007835D4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FB6ABC">
              <w:rPr>
                <w:rFonts w:ascii="Arial" w:hAnsi="Arial" w:cs="Arial"/>
              </w:rPr>
              <w:t>(3.1.1.-3.1.6.)</w:t>
            </w:r>
            <w:r w:rsidRPr="00FB6ABC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332 040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31.1.2017</w:t>
            </w:r>
          </w:p>
        </w:tc>
      </w:tr>
      <w:tr w:rsidR="00FB6ABC" w:rsidRPr="00FB6ABC" w:rsidTr="007835D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B6ABC" w:rsidRPr="00FB6ABC" w:rsidTr="007835D4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107 200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30.</w:t>
            </w:r>
            <w:r w:rsidR="001B2562">
              <w:rPr>
                <w:rFonts w:ascii="Arial" w:hAnsi="Arial" w:cs="Arial"/>
                <w:b/>
                <w:bCs/>
              </w:rPr>
              <w:t>6</w:t>
            </w:r>
            <w:r w:rsidRPr="00FB6ABC">
              <w:rPr>
                <w:rFonts w:ascii="Arial" w:hAnsi="Arial" w:cs="Arial"/>
                <w:b/>
                <w:bCs/>
              </w:rPr>
              <w:t>.201</w:t>
            </w:r>
            <w:r w:rsidR="001B2562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B6ABC" w:rsidRPr="00FB6ABC" w:rsidTr="007835D4">
        <w:trPr>
          <w:trHeight w:val="7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Předběžný </w:t>
            </w:r>
            <w:proofErr w:type="spellStart"/>
            <w:r w:rsidRPr="00FB6ABC">
              <w:rPr>
                <w:rFonts w:ascii="Arial" w:hAnsi="Arial" w:cs="Arial"/>
              </w:rPr>
              <w:t>inženýrsko</w:t>
            </w:r>
            <w:proofErr w:type="spellEnd"/>
            <w:r w:rsidRPr="00FB6ABC">
              <w:rPr>
                <w:rFonts w:ascii="Arial" w:hAnsi="Arial" w:cs="Arial"/>
              </w:rPr>
              <w:t xml:space="preserve"> geologický průzkum pro opatření sloužící k zpřístupnění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100 </w:t>
            </w:r>
            <w:proofErr w:type="spellStart"/>
            <w:r w:rsidRPr="00FB6AB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3B5EBC" w:rsidP="00783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3B5EBC" w:rsidP="00783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7835D4">
        <w:trPr>
          <w:trHeight w:val="7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Předběžný </w:t>
            </w:r>
            <w:proofErr w:type="spellStart"/>
            <w:r w:rsidRPr="00FB6ABC">
              <w:rPr>
                <w:rFonts w:ascii="Arial" w:hAnsi="Arial" w:cs="Arial"/>
              </w:rPr>
              <w:t>inženýrsko</w:t>
            </w:r>
            <w:proofErr w:type="spellEnd"/>
            <w:r w:rsidRPr="00FB6ABC">
              <w:rPr>
                <w:rFonts w:ascii="Arial" w:hAnsi="Arial" w:cs="Arial"/>
              </w:rPr>
              <w:t xml:space="preserve"> geologický průzkum pro vodohospodářská a protierozní opatření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7835D4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Výškopisné zaměření zájmového území v obvodu </w:t>
            </w:r>
            <w:proofErr w:type="spellStart"/>
            <w:r w:rsidRPr="00FB6ABC">
              <w:rPr>
                <w:rFonts w:ascii="Arial" w:hAnsi="Arial" w:cs="Arial"/>
              </w:rPr>
              <w:t>KoPÚ</w:t>
            </w:r>
            <w:proofErr w:type="spellEnd"/>
            <w:r w:rsidRPr="00FB6ABC">
              <w:rPr>
                <w:rFonts w:ascii="Arial" w:hAnsi="Arial" w:cs="Arial"/>
              </w:rPr>
              <w:t xml:space="preserve">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13 400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7835D4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Potřebné podélné a příčné profily liniových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100 </w:t>
            </w:r>
            <w:proofErr w:type="spellStart"/>
            <w:r w:rsidRPr="00FB6AB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3B5EBC" w:rsidP="00783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3B5EBC" w:rsidP="003B5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FB6ABC" w:rsidRPr="00FB6ABC"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7835D4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Potřebné podélné a příčné profily vodohospodářských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100 </w:t>
            </w:r>
            <w:proofErr w:type="spellStart"/>
            <w:r w:rsidRPr="00FB6AB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7835D4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128 640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31.8.2018</w:t>
            </w:r>
          </w:p>
        </w:tc>
      </w:tr>
      <w:tr w:rsidR="00FB6ABC" w:rsidRPr="00FB6ABC" w:rsidTr="007835D4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Předložení kompletní dokumentace nového uspořádání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do 1 měsíce od výzvy zadavatele</w:t>
            </w:r>
          </w:p>
        </w:tc>
      </w:tr>
      <w:tr w:rsidR="00FB6ABC" w:rsidRPr="00FB6ABC" w:rsidTr="007835D4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FB6ABC">
              <w:rPr>
                <w:rFonts w:ascii="Arial" w:hAnsi="Arial" w:cs="Arial"/>
              </w:rPr>
              <w:t>(3.2.1.-3.2.3.)</w:t>
            </w:r>
            <w:r w:rsidRPr="00FB6ABC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3B5E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259 040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1B2562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  <w:r w:rsidR="00FB6ABC" w:rsidRPr="00FB6AB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1C0B14">
              <w:rPr>
                <w:rFonts w:ascii="Arial" w:hAnsi="Arial" w:cs="Arial"/>
                <w:b/>
                <w:bCs/>
              </w:rPr>
              <w:t>3</w:t>
            </w:r>
            <w:r w:rsidR="00FB6ABC" w:rsidRPr="00FB6ABC">
              <w:rPr>
                <w:rFonts w:ascii="Arial" w:hAnsi="Arial" w:cs="Arial"/>
                <w:b/>
                <w:bCs/>
              </w:rPr>
              <w:t>.201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FB6ABC" w:rsidRPr="00FB6ABC" w:rsidTr="007835D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80 400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do 3 měsíců od nabytí PM 1. R</w:t>
            </w:r>
          </w:p>
        </w:tc>
      </w:tr>
      <w:tr w:rsidR="00FB6ABC" w:rsidRPr="00FB6ABC" w:rsidTr="007835D4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FB6ABC">
              <w:rPr>
                <w:rFonts w:ascii="Arial" w:hAnsi="Arial" w:cs="Arial"/>
              </w:rPr>
              <w:t>(3.3.)</w:t>
            </w:r>
            <w:r w:rsidRPr="00FB6ABC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80 400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B6ABC" w:rsidRPr="00FB6ABC" w:rsidTr="007835D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Vytyčení pozemků dle zapsané DKM</w:t>
            </w:r>
          </w:p>
          <w:p w:rsidR="00FB6ABC" w:rsidRPr="00FB6ABC" w:rsidRDefault="00FB6ABC" w:rsidP="007835D4">
            <w:pPr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Vytyčení hranic pozemků dle zapsané DKM </w:t>
            </w:r>
          </w:p>
          <w:p w:rsidR="00FB6ABC" w:rsidRPr="00FB6ABC" w:rsidRDefault="00FB6ABC" w:rsidP="007835D4">
            <w:pPr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v souladu s § 87 až 92 </w:t>
            </w:r>
            <w:proofErr w:type="spellStart"/>
            <w:r w:rsidRPr="00FB6ABC">
              <w:rPr>
                <w:rFonts w:ascii="Arial" w:hAnsi="Arial" w:cs="Arial"/>
                <w:bCs/>
              </w:rPr>
              <w:t>vyhl</w:t>
            </w:r>
            <w:proofErr w:type="spellEnd"/>
            <w:r w:rsidRPr="00FB6ABC">
              <w:rPr>
                <w:rFonts w:ascii="Arial" w:hAnsi="Arial" w:cs="Arial"/>
                <w:bCs/>
              </w:rPr>
              <w:t>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100 </w:t>
            </w:r>
            <w:proofErr w:type="spellStart"/>
            <w:r w:rsidRPr="00FB6AB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</w:t>
            </w:r>
            <w:r w:rsidR="0051498A"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</w:rPr>
            </w:pPr>
            <w:r w:rsidRPr="00FB6ABC">
              <w:rPr>
                <w:rFonts w:ascii="Arial" w:hAnsi="Arial" w:cs="Arial"/>
                <w:b/>
              </w:rPr>
              <w:t>3</w:t>
            </w:r>
            <w:r w:rsidR="0051498A">
              <w:rPr>
                <w:rFonts w:ascii="Arial" w:hAnsi="Arial" w:cs="Arial"/>
                <w:b/>
              </w:rPr>
              <w:t>1</w:t>
            </w:r>
            <w:r w:rsidRPr="00FB6ABC">
              <w:rPr>
                <w:rFonts w:ascii="Arial" w:hAnsi="Arial" w:cs="Arial"/>
                <w:b/>
              </w:rPr>
              <w:t xml:space="preserve"> </w:t>
            </w:r>
            <w:r w:rsidR="0051498A">
              <w:rPr>
                <w:rFonts w:ascii="Arial" w:hAnsi="Arial" w:cs="Arial"/>
                <w:b/>
              </w:rPr>
              <w:t>9</w:t>
            </w:r>
            <w:r w:rsidRPr="00FB6AB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>nejpozději do</w:t>
            </w:r>
          </w:p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 konce roku </w:t>
            </w:r>
          </w:p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následujícího </w:t>
            </w:r>
          </w:p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po roce v němž </w:t>
            </w:r>
          </w:p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došlo k zápisu </w:t>
            </w:r>
          </w:p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B6ABC">
              <w:rPr>
                <w:rFonts w:ascii="Arial" w:hAnsi="Arial" w:cs="Arial"/>
                <w:bCs/>
              </w:rPr>
              <w:t>KoPÚ</w:t>
            </w:r>
            <w:proofErr w:type="spellEnd"/>
            <w:r w:rsidRPr="00FB6ABC">
              <w:rPr>
                <w:rFonts w:ascii="Arial" w:hAnsi="Arial" w:cs="Arial"/>
                <w:bCs/>
              </w:rPr>
              <w:t xml:space="preserve"> do </w:t>
            </w:r>
          </w:p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>katastru</w:t>
            </w:r>
          </w:p>
          <w:p w:rsidR="00FB6ABC" w:rsidRPr="00FB6ABC" w:rsidRDefault="00FB6ABC" w:rsidP="007835D4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FB6ABC" w:rsidRPr="00FB6ABC" w:rsidTr="007835D4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7835D4">
            <w:pPr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FB6ABC">
              <w:rPr>
                <w:rFonts w:ascii="Arial" w:hAnsi="Arial" w:cs="Arial"/>
                <w:b/>
              </w:rPr>
              <w:t>(3.4.)</w:t>
            </w:r>
            <w:r w:rsidRPr="00FB6ABC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</w:t>
            </w:r>
            <w:r w:rsidR="0051498A">
              <w:rPr>
                <w:rFonts w:ascii="Arial" w:hAnsi="Arial" w:cs="Arial"/>
                <w:b/>
                <w:bCs/>
              </w:rPr>
              <w:t>1</w:t>
            </w:r>
            <w:r w:rsidRPr="00FB6ABC">
              <w:rPr>
                <w:rFonts w:ascii="Arial" w:hAnsi="Arial" w:cs="Arial"/>
                <w:b/>
                <w:bCs/>
              </w:rPr>
              <w:t xml:space="preserve"> </w:t>
            </w:r>
            <w:r w:rsidR="0051498A">
              <w:rPr>
                <w:rFonts w:ascii="Arial" w:hAnsi="Arial" w:cs="Arial"/>
                <w:b/>
                <w:bCs/>
              </w:rPr>
              <w:t>9</w:t>
            </w:r>
            <w:r w:rsidRPr="00FB6AB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7835D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85A7B" w:rsidRPr="00C47C3E" w:rsidTr="00285A7B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5A7B" w:rsidRPr="00285A7B" w:rsidRDefault="00285A7B" w:rsidP="00783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Stávající cena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85A7B" w:rsidRPr="00285A7B" w:rsidRDefault="00285A7B" w:rsidP="007835D4">
            <w:pPr>
              <w:jc w:val="center"/>
              <w:rPr>
                <w:rFonts w:ascii="Arial" w:hAnsi="Arial" w:cs="Arial"/>
                <w:bCs/>
              </w:rPr>
            </w:pPr>
            <w:r w:rsidRPr="00285A7B">
              <w:rPr>
                <w:rFonts w:ascii="Arial" w:hAnsi="Arial" w:cs="Arial"/>
                <w:bCs/>
              </w:rPr>
              <w:t>Nová cena v Kč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1. Přípravné práce celkem (3.1.1.-3.1.6.)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332 040,00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332 040,00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2. Návrhové práce celkem (3.2.1.-3.2.3.)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260 240,00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259 040</w:t>
            </w:r>
            <w:r w:rsidR="00285A7B" w:rsidRPr="00285A7B">
              <w:rPr>
                <w:rFonts w:ascii="Arial" w:hAnsi="Arial" w:cs="Arial"/>
                <w:bCs/>
              </w:rPr>
              <w:t>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3. Mapové dílo celkem (3.3.</w:t>
            </w:r>
            <w:proofErr w:type="gramStart"/>
            <w:r w:rsidRPr="00285A7B">
              <w:rPr>
                <w:rFonts w:ascii="Arial" w:hAnsi="Arial" w:cs="Arial"/>
                <w:b/>
                <w:bCs/>
              </w:rPr>
              <w:t>)  bez</w:t>
            </w:r>
            <w:proofErr w:type="gramEnd"/>
            <w:r w:rsidRPr="00285A7B">
              <w:rPr>
                <w:rFonts w:ascii="Arial" w:hAnsi="Arial" w:cs="Arial"/>
                <w:b/>
                <w:bCs/>
              </w:rPr>
              <w:t xml:space="preserve">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80 400</w:t>
            </w:r>
            <w:r w:rsidR="00285A7B" w:rsidRPr="003B5EBC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80 40</w:t>
            </w:r>
            <w:r w:rsidR="00285A7B" w:rsidRPr="00285A7B">
              <w:rPr>
                <w:rFonts w:ascii="Arial" w:hAnsi="Arial" w:cs="Arial"/>
                <w:bCs/>
              </w:rPr>
              <w:t>0,00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 xml:space="preserve">4. Vytyčení pozemků dle zapsané DKM (3.4.) bez DPH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33 000</w:t>
            </w:r>
            <w:r w:rsidR="00285A7B" w:rsidRPr="003B5EBC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51498A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1498A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00</w:t>
            </w:r>
            <w:r w:rsidR="00285A7B" w:rsidRPr="00285A7B">
              <w:rPr>
                <w:rFonts w:ascii="Arial" w:hAnsi="Arial" w:cs="Arial"/>
                <w:bCs/>
              </w:rPr>
              <w:t>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Celková Cena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705 680,00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3B5EBC" w:rsidRDefault="0051498A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703 380</w:t>
            </w:r>
            <w:r w:rsidR="003B5EBC" w:rsidRPr="003B5EBC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148 192,00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147 </w:t>
            </w:r>
            <w:r w:rsidR="0051498A">
              <w:rPr>
                <w:rFonts w:ascii="Arial" w:hAnsi="Arial" w:cs="Arial"/>
                <w:bCs/>
              </w:rPr>
              <w:t>710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Celková Cena s 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853 872,00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1B2562" w:rsidRDefault="001B2562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2562">
              <w:rPr>
                <w:rFonts w:ascii="Arial" w:hAnsi="Arial" w:cs="Arial"/>
                <w:b/>
                <w:bCs/>
              </w:rPr>
              <w:t>85</w:t>
            </w:r>
            <w:r w:rsidR="0051498A">
              <w:rPr>
                <w:rFonts w:ascii="Arial" w:hAnsi="Arial" w:cs="Arial"/>
                <w:b/>
                <w:bCs/>
              </w:rPr>
              <w:t>1</w:t>
            </w:r>
            <w:r w:rsidRPr="001B2562">
              <w:rPr>
                <w:rFonts w:ascii="Arial" w:hAnsi="Arial" w:cs="Arial"/>
                <w:b/>
                <w:bCs/>
              </w:rPr>
              <w:t> </w:t>
            </w:r>
            <w:r w:rsidR="0051498A">
              <w:rPr>
                <w:rFonts w:ascii="Arial" w:hAnsi="Arial" w:cs="Arial"/>
                <w:b/>
                <w:bCs/>
              </w:rPr>
              <w:t>090</w:t>
            </w:r>
            <w:r w:rsidRPr="001B2562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FB6ABC" w:rsidRDefault="00FB6ABC" w:rsidP="00FB6ABC">
      <w:pPr>
        <w:jc w:val="center"/>
        <w:rPr>
          <w:b/>
          <w:caps/>
          <w:sz w:val="24"/>
          <w:szCs w:val="24"/>
        </w:rPr>
      </w:pPr>
    </w:p>
    <w:p w:rsidR="0051498A" w:rsidRDefault="0051498A" w:rsidP="0051498A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51498A" w:rsidRPr="00C47C3E" w:rsidRDefault="0051498A" w:rsidP="0051498A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3. </w:t>
      </w:r>
      <w:r w:rsidRPr="00C47C3E">
        <w:rPr>
          <w:rFonts w:ascii="Arial" w:hAnsi="Arial" w:cs="Arial"/>
          <w:b/>
          <w:caps/>
          <w:sz w:val="22"/>
          <w:szCs w:val="22"/>
        </w:rPr>
        <w:t>Závěrečná ustanovení</w:t>
      </w:r>
    </w:p>
    <w:p w:rsidR="0051498A" w:rsidRPr="00C47C3E" w:rsidRDefault="0051498A" w:rsidP="0051498A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3.1. </w:t>
      </w:r>
      <w:r w:rsidRPr="00C47C3E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51498A" w:rsidRPr="00C47C3E" w:rsidRDefault="0051498A" w:rsidP="0051498A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51498A" w:rsidRPr="00C47C3E" w:rsidRDefault="0051498A" w:rsidP="0051498A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3.2. Tento d</w:t>
      </w:r>
      <w:r w:rsidRPr="00C47C3E">
        <w:rPr>
          <w:rFonts w:ascii="Arial" w:hAnsi="Arial" w:cs="Arial"/>
          <w:sz w:val="22"/>
          <w:szCs w:val="22"/>
          <w:lang w:eastAsia="ar-SA"/>
        </w:rPr>
        <w:t>odatek je vyhotoven ve třech stejnopisech, ve dvou stejnopisech pro objednatele</w:t>
      </w:r>
      <w:r w:rsidRPr="00C47C3E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originálu.</w:t>
      </w:r>
    </w:p>
    <w:p w:rsidR="0051498A" w:rsidRDefault="0051498A" w:rsidP="0051498A">
      <w:pPr>
        <w:rPr>
          <w:rFonts w:ascii="Arial" w:hAnsi="Arial" w:cs="Arial"/>
          <w:b/>
          <w:bCs/>
          <w:sz w:val="24"/>
          <w:szCs w:val="24"/>
        </w:rPr>
      </w:pPr>
    </w:p>
    <w:p w:rsidR="0051498A" w:rsidRPr="00F705B2" w:rsidRDefault="0051498A" w:rsidP="0051498A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>3</w:t>
      </w:r>
      <w:r w:rsidRPr="00F705B2">
        <w:rPr>
          <w:rFonts w:ascii="Arial" w:hAnsi="Arial" w:cs="Arial"/>
          <w:bCs/>
          <w:sz w:val="22"/>
          <w:szCs w:val="22"/>
          <w:lang w:eastAsia="ar-SA"/>
        </w:rPr>
        <w:t xml:space="preserve">.3 </w:t>
      </w:r>
      <w:r w:rsidRPr="00F705B2">
        <w:rPr>
          <w:rFonts w:ascii="Arial" w:hAnsi="Arial" w:cs="Arial"/>
          <w:bCs/>
          <w:sz w:val="22"/>
          <w:szCs w:val="22"/>
        </w:rPr>
        <w:t>Smluvní strany jsou si plně vědomy zákonné povinnosti od 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05B2">
        <w:rPr>
          <w:rFonts w:ascii="Arial" w:hAnsi="Arial" w:cs="Arial"/>
          <w:bCs/>
          <w:sz w:val="22"/>
          <w:szCs w:val="22"/>
        </w:rPr>
        <w:t>7.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05B2">
        <w:rPr>
          <w:rFonts w:ascii="Arial" w:hAnsi="Arial" w:cs="Arial"/>
          <w:bCs/>
          <w:sz w:val="22"/>
          <w:szCs w:val="22"/>
        </w:rPr>
        <w:t>2016 uveřejnit dle zákona č. 340/2015 Sb. o zvláštních podmínkách účinnosti některých smluv, uveřejňování těchto smluv a o registru smluv (zákon o registru smluv)</w:t>
      </w:r>
      <w:r>
        <w:rPr>
          <w:rFonts w:ascii="Arial" w:hAnsi="Arial" w:cs="Arial"/>
          <w:bCs/>
          <w:sz w:val="22"/>
          <w:szCs w:val="22"/>
        </w:rPr>
        <w:t xml:space="preserve"> tento dodatek ke smlouvě, který mění původní smlouvu</w:t>
      </w:r>
      <w:r w:rsidRPr="00F705B2">
        <w:rPr>
          <w:rFonts w:ascii="Arial" w:hAnsi="Arial" w:cs="Arial"/>
          <w:bCs/>
          <w:sz w:val="22"/>
          <w:szCs w:val="22"/>
        </w:rPr>
        <w:t xml:space="preserve">, a to prostřednictvím registru smluv. Smluvní strany se dále dohodly, že </w:t>
      </w:r>
      <w:r>
        <w:rPr>
          <w:rFonts w:ascii="Arial" w:hAnsi="Arial" w:cs="Arial"/>
          <w:bCs/>
          <w:sz w:val="22"/>
          <w:szCs w:val="22"/>
        </w:rPr>
        <w:t xml:space="preserve">tento dodatek ke smlouvě </w:t>
      </w:r>
      <w:r w:rsidRPr="00F705B2">
        <w:rPr>
          <w:rFonts w:ascii="Arial" w:hAnsi="Arial" w:cs="Arial"/>
          <w:bCs/>
          <w:sz w:val="22"/>
          <w:szCs w:val="22"/>
        </w:rPr>
        <w:t>zašle správci registru smluv k uveřejnění prostřednictvím registru smluv objednatel.</w:t>
      </w:r>
    </w:p>
    <w:p w:rsidR="0051498A" w:rsidRPr="00F705B2" w:rsidRDefault="0051498A" w:rsidP="0051498A">
      <w:pPr>
        <w:pStyle w:val="Odstavecseseznamem"/>
        <w:ind w:left="426" w:hanging="426"/>
        <w:jc w:val="both"/>
        <w:rPr>
          <w:rFonts w:ascii="Arial" w:hAnsi="Arial" w:cs="Arial"/>
          <w:bCs/>
          <w:sz w:val="22"/>
        </w:rPr>
      </w:pPr>
    </w:p>
    <w:p w:rsidR="0051498A" w:rsidRPr="005D2EF0" w:rsidRDefault="0051498A" w:rsidP="0051498A">
      <w:p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3.4.</w:t>
      </w:r>
      <w:r w:rsidRPr="005D2EF0">
        <w:rPr>
          <w:rFonts w:ascii="Arial" w:hAnsi="Arial" w:cs="Arial"/>
          <w:bCs/>
          <w:sz w:val="22"/>
        </w:rPr>
        <w:t>Tento dodatek nabývá platnosti dnem podpisu smluvních stran a účinnosti dnem jeho</w:t>
      </w:r>
    </w:p>
    <w:p w:rsidR="0051498A" w:rsidRDefault="0051498A" w:rsidP="0051498A">
      <w:pPr>
        <w:contextualSpacing/>
        <w:jc w:val="both"/>
        <w:rPr>
          <w:rFonts w:ascii="Arial" w:hAnsi="Arial" w:cs="Arial"/>
          <w:bCs/>
          <w:sz w:val="22"/>
        </w:rPr>
      </w:pPr>
      <w:r w:rsidRPr="00F705B2">
        <w:rPr>
          <w:rFonts w:ascii="Arial" w:hAnsi="Arial" w:cs="Arial"/>
          <w:bCs/>
          <w:sz w:val="22"/>
        </w:rPr>
        <w:t>uveřejnění v registru smluv dle § 6 odst. 1 zákona č. 340/2015 Sb., o zvláštních podmínkách účinnosti některých smluv uveřejňování těchto smluv a o registru smluv.</w:t>
      </w:r>
    </w:p>
    <w:p w:rsidR="0051498A" w:rsidRDefault="0051498A" w:rsidP="0051498A">
      <w:pPr>
        <w:contextualSpacing/>
        <w:jc w:val="both"/>
        <w:rPr>
          <w:rFonts w:ascii="Arial" w:hAnsi="Arial" w:cs="Arial"/>
          <w:bCs/>
          <w:sz w:val="22"/>
        </w:rPr>
      </w:pPr>
    </w:p>
    <w:p w:rsidR="0051498A" w:rsidRPr="00F705B2" w:rsidRDefault="0051498A" w:rsidP="0051498A">
      <w:p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3.5. Objednatel i zhotovitel prohlašují, že si dodatek přečetli, souhlasí s jeho obsahem a prohlašují, že dodatek nebyl sepsán v tísni ani za nápadně nevýhodných podmínek. Na důkaz této skutečnosti připojují své podpisy. </w:t>
      </w:r>
    </w:p>
    <w:p w:rsidR="009644C9" w:rsidRPr="00B317CA" w:rsidRDefault="009644C9" w:rsidP="009644C9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FF0A01" w:rsidRPr="009644C9" w:rsidRDefault="00FF0A01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F1403" w:rsidRPr="009644C9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9644C9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V 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>Plzni</w:t>
      </w:r>
      <w:r w:rsidRPr="009644C9">
        <w:rPr>
          <w:rFonts w:ascii="Arial" w:hAnsi="Arial" w:cs="Arial"/>
          <w:snapToGrid w:val="0"/>
          <w:sz w:val="22"/>
          <w:szCs w:val="22"/>
        </w:rPr>
        <w:t xml:space="preserve"> dne</w:t>
      </w:r>
      <w:r w:rsidR="0031742D">
        <w:rPr>
          <w:rFonts w:ascii="Arial" w:hAnsi="Arial" w:cs="Arial"/>
          <w:snapToGrid w:val="0"/>
          <w:sz w:val="22"/>
          <w:szCs w:val="22"/>
        </w:rPr>
        <w:t xml:space="preserve"> 24. 10. 2019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  <w:r w:rsidR="007D669A" w:rsidRPr="009644C9">
        <w:rPr>
          <w:rFonts w:ascii="Arial" w:hAnsi="Arial" w:cs="Arial"/>
          <w:snapToGrid w:val="0"/>
          <w:sz w:val="22"/>
          <w:szCs w:val="22"/>
        </w:rPr>
        <w:tab/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C85C5E">
        <w:rPr>
          <w:rFonts w:ascii="Arial" w:hAnsi="Arial" w:cs="Arial"/>
          <w:snapToGrid w:val="0"/>
          <w:sz w:val="22"/>
          <w:szCs w:val="22"/>
        </w:rPr>
        <w:tab/>
      </w:r>
      <w:r w:rsidR="007D669A" w:rsidRPr="009644C9">
        <w:rPr>
          <w:rFonts w:ascii="Arial" w:hAnsi="Arial" w:cs="Arial"/>
          <w:snapToGrid w:val="0"/>
          <w:sz w:val="22"/>
          <w:szCs w:val="22"/>
        </w:rPr>
        <w:t>V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> </w:t>
      </w:r>
      <w:r w:rsidR="004B0A5C" w:rsidRPr="009644C9">
        <w:rPr>
          <w:rFonts w:ascii="Arial" w:hAnsi="Arial" w:cs="Arial"/>
          <w:snapToGrid w:val="0"/>
          <w:sz w:val="22"/>
          <w:szCs w:val="22"/>
        </w:rPr>
        <w:t>P</w:t>
      </w:r>
      <w:r w:rsidR="00720DCC" w:rsidRPr="009644C9">
        <w:rPr>
          <w:rFonts w:ascii="Arial" w:hAnsi="Arial" w:cs="Arial"/>
          <w:snapToGrid w:val="0"/>
          <w:sz w:val="22"/>
          <w:szCs w:val="22"/>
        </w:rPr>
        <w:t>lzni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9644C9">
        <w:rPr>
          <w:rFonts w:ascii="Arial" w:hAnsi="Arial" w:cs="Arial"/>
          <w:snapToGrid w:val="0"/>
          <w:sz w:val="22"/>
          <w:szCs w:val="22"/>
        </w:rPr>
        <w:t>ne</w:t>
      </w:r>
      <w:r w:rsidR="0031742D">
        <w:rPr>
          <w:rFonts w:ascii="Arial" w:hAnsi="Arial" w:cs="Arial"/>
          <w:snapToGrid w:val="0"/>
          <w:sz w:val="22"/>
          <w:szCs w:val="22"/>
        </w:rPr>
        <w:t xml:space="preserve"> 31. 10. 2019</w:t>
      </w:r>
      <w:bookmarkStart w:id="0" w:name="_GoBack"/>
      <w:bookmarkEnd w:id="0"/>
      <w:r w:rsidRPr="009644C9">
        <w:rPr>
          <w:rFonts w:ascii="Arial" w:hAnsi="Arial" w:cs="Arial"/>
          <w:snapToGrid w:val="0"/>
          <w:sz w:val="22"/>
          <w:szCs w:val="22"/>
        </w:rPr>
        <w:tab/>
      </w: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>Z</w:t>
      </w:r>
      <w:r w:rsidR="0031742D">
        <w:rPr>
          <w:rFonts w:ascii="Arial" w:hAnsi="Arial" w:cs="Arial"/>
          <w:b/>
          <w:bCs/>
          <w:snapToGrid w:val="0"/>
          <w:sz w:val="22"/>
          <w:szCs w:val="22"/>
        </w:rPr>
        <w:t> </w:t>
      </w:r>
      <w:proofErr w:type="gramStart"/>
      <w:r w:rsidRPr="009644C9">
        <w:rPr>
          <w:rFonts w:ascii="Arial" w:hAnsi="Arial" w:cs="Arial"/>
          <w:b/>
          <w:bCs/>
          <w:snapToGrid w:val="0"/>
          <w:sz w:val="22"/>
          <w:szCs w:val="22"/>
        </w:rPr>
        <w:t>a</w:t>
      </w:r>
      <w:r w:rsidR="0031742D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 xml:space="preserve"> o</w:t>
      </w:r>
      <w:proofErr w:type="gramEnd"/>
      <w:r w:rsidRPr="009644C9">
        <w:rPr>
          <w:rFonts w:ascii="Arial" w:hAnsi="Arial" w:cs="Arial"/>
          <w:b/>
          <w:bCs/>
          <w:snapToGrid w:val="0"/>
          <w:sz w:val="22"/>
          <w:szCs w:val="22"/>
        </w:rPr>
        <w:t xml:space="preserve"> b j e d n a t e l e:</w:t>
      </w: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9644C9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9644C9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9644C9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9644C9">
        <w:rPr>
          <w:rFonts w:ascii="Arial" w:hAnsi="Arial" w:cs="Arial"/>
          <w:b w:val="0"/>
          <w:sz w:val="22"/>
          <w:szCs w:val="22"/>
        </w:rPr>
        <w:tab/>
      </w:r>
      <w:r w:rsidR="004B0A5C" w:rsidRPr="009644C9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720DCC"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>Helena Krausová</w:t>
      </w:r>
      <w:r w:rsidR="00894C41"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</w:t>
      </w:r>
    </w:p>
    <w:p w:rsidR="006F1403" w:rsidRPr="009644C9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9644C9">
        <w:rPr>
          <w:rFonts w:ascii="Arial" w:hAnsi="Arial" w:cs="Arial"/>
          <w:b w:val="0"/>
          <w:sz w:val="22"/>
          <w:szCs w:val="22"/>
        </w:rPr>
        <w:tab/>
      </w:r>
    </w:p>
    <w:p w:rsidR="0048709A" w:rsidRPr="009644C9" w:rsidRDefault="00A330D4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 </w:t>
      </w:r>
      <w:r w:rsidR="00894C41" w:rsidRPr="009644C9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894C41" w:rsidRPr="009644C9">
        <w:rPr>
          <w:rFonts w:ascii="Arial" w:hAnsi="Arial" w:cs="Arial"/>
          <w:b w:val="0"/>
          <w:sz w:val="22"/>
          <w:szCs w:val="22"/>
        </w:rPr>
        <w:tab/>
      </w:r>
      <w:r w:rsidR="00894C41" w:rsidRPr="009644C9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48709A" w:rsidRPr="009644C9" w:rsidRDefault="0048709A">
      <w:pPr>
        <w:pStyle w:val="Zkladntext"/>
        <w:spacing w:line="240" w:lineRule="auto"/>
        <w:rPr>
          <w:rFonts w:ascii="Arial" w:hAnsi="Arial" w:cs="Arial"/>
          <w:b w:val="0"/>
          <w:szCs w:val="20"/>
        </w:rPr>
      </w:pPr>
      <w:r w:rsidRPr="009644C9">
        <w:rPr>
          <w:rFonts w:ascii="Arial" w:hAnsi="Arial" w:cs="Arial"/>
          <w:b w:val="0"/>
          <w:szCs w:val="20"/>
        </w:rPr>
        <w:tab/>
      </w:r>
    </w:p>
    <w:sectPr w:rsidR="0048709A" w:rsidRPr="009644C9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5D0" w:rsidRDefault="00C275D0">
      <w:r>
        <w:separator/>
      </w:r>
    </w:p>
  </w:endnote>
  <w:endnote w:type="continuationSeparator" w:id="0">
    <w:p w:rsidR="00C275D0" w:rsidRDefault="00C2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501A">
      <w:rPr>
        <w:rStyle w:val="slostrnky"/>
        <w:noProof/>
      </w:rPr>
      <w:t>4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01A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5D0" w:rsidRDefault="00C275D0">
      <w:r>
        <w:separator/>
      </w:r>
    </w:p>
  </w:footnote>
  <w:footnote w:type="continuationSeparator" w:id="0">
    <w:p w:rsidR="00C275D0" w:rsidRDefault="00C2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7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1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5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"/>
  </w:num>
  <w:num w:numId="5">
    <w:abstractNumId w:val="3"/>
  </w:num>
  <w:num w:numId="6">
    <w:abstractNumId w:val="9"/>
  </w:num>
  <w:num w:numId="7">
    <w:abstractNumId w:val="17"/>
  </w:num>
  <w:num w:numId="8">
    <w:abstractNumId w:val="15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1"/>
  </w:num>
  <w:num w:numId="17">
    <w:abstractNumId w:val="7"/>
  </w:num>
  <w:num w:numId="18">
    <w:abstractNumId w:val="22"/>
  </w:num>
  <w:num w:numId="19">
    <w:abstractNumId w:val="18"/>
  </w:num>
  <w:num w:numId="20">
    <w:abstractNumId w:val="6"/>
  </w:num>
  <w:num w:numId="21">
    <w:abstractNumId w:val="20"/>
  </w:num>
  <w:num w:numId="22">
    <w:abstractNumId w:val="14"/>
  </w:num>
  <w:num w:numId="23">
    <w:abstractNumId w:val="0"/>
  </w:num>
  <w:num w:numId="24">
    <w:abstractNumId w:val="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69D2"/>
    <w:rsid w:val="00072A5F"/>
    <w:rsid w:val="000804C2"/>
    <w:rsid w:val="00084056"/>
    <w:rsid w:val="000969FD"/>
    <w:rsid w:val="000973B5"/>
    <w:rsid w:val="000A73A9"/>
    <w:rsid w:val="000B1001"/>
    <w:rsid w:val="000B46D4"/>
    <w:rsid w:val="000B561C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A211A"/>
    <w:rsid w:val="001A2446"/>
    <w:rsid w:val="001A78B5"/>
    <w:rsid w:val="001B2163"/>
    <w:rsid w:val="001B2562"/>
    <w:rsid w:val="001B6572"/>
    <w:rsid w:val="001C0B14"/>
    <w:rsid w:val="001C5F14"/>
    <w:rsid w:val="001D4B69"/>
    <w:rsid w:val="001D52BD"/>
    <w:rsid w:val="001D6550"/>
    <w:rsid w:val="001D7C22"/>
    <w:rsid w:val="001E3760"/>
    <w:rsid w:val="001F5053"/>
    <w:rsid w:val="0020004B"/>
    <w:rsid w:val="00211C7B"/>
    <w:rsid w:val="00211EE6"/>
    <w:rsid w:val="00213F5F"/>
    <w:rsid w:val="00221EEF"/>
    <w:rsid w:val="00225573"/>
    <w:rsid w:val="00226B18"/>
    <w:rsid w:val="0024075B"/>
    <w:rsid w:val="0024289D"/>
    <w:rsid w:val="00246A3D"/>
    <w:rsid w:val="002537F5"/>
    <w:rsid w:val="002631D5"/>
    <w:rsid w:val="00266926"/>
    <w:rsid w:val="00274AD9"/>
    <w:rsid w:val="00275800"/>
    <w:rsid w:val="002776F8"/>
    <w:rsid w:val="0028192B"/>
    <w:rsid w:val="00285A7B"/>
    <w:rsid w:val="002900FA"/>
    <w:rsid w:val="002955CF"/>
    <w:rsid w:val="002A21DA"/>
    <w:rsid w:val="002A30F2"/>
    <w:rsid w:val="002A4999"/>
    <w:rsid w:val="002A78D3"/>
    <w:rsid w:val="002B03EF"/>
    <w:rsid w:val="002B7A0C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1742D"/>
    <w:rsid w:val="00326126"/>
    <w:rsid w:val="00326C52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B3547"/>
    <w:rsid w:val="003B5EBC"/>
    <w:rsid w:val="003C090A"/>
    <w:rsid w:val="003C6368"/>
    <w:rsid w:val="003C6404"/>
    <w:rsid w:val="003D06F9"/>
    <w:rsid w:val="003D0D16"/>
    <w:rsid w:val="003F7BB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77845"/>
    <w:rsid w:val="00483462"/>
    <w:rsid w:val="0048709A"/>
    <w:rsid w:val="00493CC8"/>
    <w:rsid w:val="00493EB5"/>
    <w:rsid w:val="004A0334"/>
    <w:rsid w:val="004A32CC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1498A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C5F6D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1E95"/>
    <w:rsid w:val="006B2197"/>
    <w:rsid w:val="006B3342"/>
    <w:rsid w:val="006B739D"/>
    <w:rsid w:val="006D4862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5DFD"/>
    <w:rsid w:val="007268AB"/>
    <w:rsid w:val="00757DE2"/>
    <w:rsid w:val="00763E55"/>
    <w:rsid w:val="00764CA5"/>
    <w:rsid w:val="007653F9"/>
    <w:rsid w:val="0077391E"/>
    <w:rsid w:val="00776ED3"/>
    <w:rsid w:val="00793E46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2336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94338"/>
    <w:rsid w:val="00894C41"/>
    <w:rsid w:val="008979A8"/>
    <w:rsid w:val="008A06B0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070E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644C9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330D4"/>
    <w:rsid w:val="00A342CF"/>
    <w:rsid w:val="00A64ED8"/>
    <w:rsid w:val="00A81E37"/>
    <w:rsid w:val="00A96F62"/>
    <w:rsid w:val="00AA079B"/>
    <w:rsid w:val="00AA07BA"/>
    <w:rsid w:val="00AA1A52"/>
    <w:rsid w:val="00AA5CA3"/>
    <w:rsid w:val="00AA6FB6"/>
    <w:rsid w:val="00AB3CE0"/>
    <w:rsid w:val="00AB4B79"/>
    <w:rsid w:val="00AB501A"/>
    <w:rsid w:val="00AC3055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513B0"/>
    <w:rsid w:val="00B706E9"/>
    <w:rsid w:val="00B73B5C"/>
    <w:rsid w:val="00B77F29"/>
    <w:rsid w:val="00B83A57"/>
    <w:rsid w:val="00B92191"/>
    <w:rsid w:val="00B92D9F"/>
    <w:rsid w:val="00B94FFC"/>
    <w:rsid w:val="00BB4B17"/>
    <w:rsid w:val="00BC50DA"/>
    <w:rsid w:val="00BC5524"/>
    <w:rsid w:val="00BC674E"/>
    <w:rsid w:val="00BD4AB8"/>
    <w:rsid w:val="00BE0335"/>
    <w:rsid w:val="00BE45B9"/>
    <w:rsid w:val="00C1199E"/>
    <w:rsid w:val="00C15395"/>
    <w:rsid w:val="00C16AD2"/>
    <w:rsid w:val="00C233A3"/>
    <w:rsid w:val="00C275D0"/>
    <w:rsid w:val="00C53DF7"/>
    <w:rsid w:val="00C65846"/>
    <w:rsid w:val="00C7016B"/>
    <w:rsid w:val="00C760EE"/>
    <w:rsid w:val="00C831B8"/>
    <w:rsid w:val="00C85C5E"/>
    <w:rsid w:val="00C9119E"/>
    <w:rsid w:val="00C93DBF"/>
    <w:rsid w:val="00CA24FD"/>
    <w:rsid w:val="00CA4454"/>
    <w:rsid w:val="00CB2A58"/>
    <w:rsid w:val="00CB3EEA"/>
    <w:rsid w:val="00CC640F"/>
    <w:rsid w:val="00CD4601"/>
    <w:rsid w:val="00CD5301"/>
    <w:rsid w:val="00CE14A3"/>
    <w:rsid w:val="00CE6A33"/>
    <w:rsid w:val="00CF007A"/>
    <w:rsid w:val="00CF5F92"/>
    <w:rsid w:val="00D03807"/>
    <w:rsid w:val="00D2284B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4E25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26008"/>
    <w:rsid w:val="00E33463"/>
    <w:rsid w:val="00E40781"/>
    <w:rsid w:val="00E5199B"/>
    <w:rsid w:val="00E60F35"/>
    <w:rsid w:val="00E610AE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40E"/>
    <w:rsid w:val="00EC38CB"/>
    <w:rsid w:val="00ED63B2"/>
    <w:rsid w:val="00ED68CF"/>
    <w:rsid w:val="00EE5183"/>
    <w:rsid w:val="00EE716C"/>
    <w:rsid w:val="00EF2D52"/>
    <w:rsid w:val="00EF4895"/>
    <w:rsid w:val="00F01C1D"/>
    <w:rsid w:val="00F0671F"/>
    <w:rsid w:val="00F06AA2"/>
    <w:rsid w:val="00F10C1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67608"/>
    <w:rsid w:val="00F75749"/>
    <w:rsid w:val="00F8596F"/>
    <w:rsid w:val="00FA2F8D"/>
    <w:rsid w:val="00FB4811"/>
    <w:rsid w:val="00FB6ABC"/>
    <w:rsid w:val="00FB6CF8"/>
    <w:rsid w:val="00FB724D"/>
    <w:rsid w:val="00FB7C9B"/>
    <w:rsid w:val="00FD1563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B065"/>
  <w15:docId w15:val="{16DF7B2C-F1A8-4558-B937-4372926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0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E1DE-E728-4BBE-A854-299D2406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2019-10-14T09:41:00Z</cp:lastPrinted>
  <dcterms:created xsi:type="dcterms:W3CDTF">2019-11-05T07:48:00Z</dcterms:created>
  <dcterms:modified xsi:type="dcterms:W3CDTF">2019-11-05T07:48:00Z</dcterms:modified>
</cp:coreProperties>
</file>