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176E66" w:rsidRDefault="005A6E12" w:rsidP="00E8465A">
      <w:p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K</w:t>
      </w:r>
      <w:r w:rsidR="00E8465A" w:rsidRPr="00176E66">
        <w:rPr>
          <w:rFonts w:ascii="Tahoma" w:hAnsi="Tahoma" w:cs="Tahoma"/>
          <w:b/>
          <w:sz w:val="16"/>
          <w:szCs w:val="16"/>
        </w:rPr>
        <w:t>upní smlouva</w:t>
      </w:r>
      <w:r w:rsidRPr="00176E66">
        <w:rPr>
          <w:rFonts w:ascii="Tahoma" w:hAnsi="Tahoma" w:cs="Tahoma"/>
          <w:b/>
          <w:sz w:val="16"/>
          <w:szCs w:val="16"/>
        </w:rPr>
        <w:t xml:space="preserve"> na opakující se plnění</w:t>
      </w:r>
    </w:p>
    <w:p w14:paraId="5622A053" w14:textId="77777777" w:rsidR="0006748F" w:rsidRPr="00176E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D25C0B0" w14:textId="77777777" w:rsidR="00460188" w:rsidRDefault="00460188" w:rsidP="00E852CC">
      <w:pPr>
        <w:tabs>
          <w:tab w:val="left" w:pos="3795"/>
        </w:tabs>
        <w:rPr>
          <w:rFonts w:ascii="Tahoma" w:hAnsi="Tahoma" w:cs="Tahoma"/>
          <w:b/>
          <w:sz w:val="16"/>
          <w:szCs w:val="16"/>
        </w:rPr>
      </w:pPr>
    </w:p>
    <w:p w14:paraId="197FD430" w14:textId="70D7AD71" w:rsidR="00E852CC" w:rsidRPr="00176E66" w:rsidRDefault="00E852CC" w:rsidP="00E852CC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proofErr w:type="spellStart"/>
      <w:r w:rsidRPr="00176E66">
        <w:rPr>
          <w:rFonts w:ascii="Tahoma" w:hAnsi="Tahoma" w:cs="Tahoma"/>
          <w:b/>
          <w:sz w:val="16"/>
          <w:szCs w:val="16"/>
        </w:rPr>
        <w:t>Medtronic</w:t>
      </w:r>
      <w:proofErr w:type="spellEnd"/>
      <w:r w:rsidRPr="00176E6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176E66">
        <w:rPr>
          <w:rFonts w:ascii="Tahoma" w:hAnsi="Tahoma" w:cs="Tahoma"/>
          <w:b/>
          <w:sz w:val="16"/>
          <w:szCs w:val="16"/>
        </w:rPr>
        <w:t>Czechia</w:t>
      </w:r>
      <w:proofErr w:type="spellEnd"/>
      <w:r w:rsidRPr="00176E66">
        <w:rPr>
          <w:rFonts w:ascii="Tahoma" w:hAnsi="Tahoma" w:cs="Tahoma"/>
          <w:b/>
          <w:sz w:val="16"/>
          <w:szCs w:val="16"/>
        </w:rPr>
        <w:t xml:space="preserve"> s.r.o.</w:t>
      </w:r>
      <w:r w:rsidRPr="00176E66">
        <w:rPr>
          <w:rFonts w:ascii="Tahoma" w:hAnsi="Tahoma" w:cs="Tahoma"/>
          <w:b/>
          <w:sz w:val="16"/>
          <w:szCs w:val="16"/>
        </w:rPr>
        <w:tab/>
      </w:r>
    </w:p>
    <w:p w14:paraId="57FBF859" w14:textId="31BCB525" w:rsidR="00E852CC" w:rsidRPr="00176E66" w:rsidRDefault="00E852CC" w:rsidP="00E852C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zapsána v obchodním rejstříku vedeném Městským soudem v Praze, </w:t>
      </w:r>
      <w:r w:rsidR="006B3841" w:rsidRPr="00176E66">
        <w:rPr>
          <w:rFonts w:ascii="Tahoma" w:hAnsi="Tahoma" w:cs="Tahoma"/>
          <w:sz w:val="16"/>
          <w:szCs w:val="16"/>
        </w:rPr>
        <w:t>oddíl</w:t>
      </w:r>
      <w:r w:rsidRPr="00176E66">
        <w:rPr>
          <w:rFonts w:ascii="Tahoma" w:hAnsi="Tahoma" w:cs="Tahoma"/>
          <w:sz w:val="16"/>
          <w:szCs w:val="16"/>
        </w:rPr>
        <w:t xml:space="preserve"> C</w:t>
      </w:r>
      <w:r w:rsidR="006B3841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vl</w:t>
      </w:r>
      <w:r w:rsidR="006B3841" w:rsidRPr="00176E66">
        <w:rPr>
          <w:rFonts w:ascii="Tahoma" w:hAnsi="Tahoma" w:cs="Tahoma"/>
          <w:sz w:val="16"/>
          <w:szCs w:val="16"/>
        </w:rPr>
        <w:t>o</w:t>
      </w:r>
      <w:r w:rsidRPr="00176E66">
        <w:rPr>
          <w:rFonts w:ascii="Tahoma" w:hAnsi="Tahoma" w:cs="Tahoma"/>
          <w:sz w:val="16"/>
          <w:szCs w:val="16"/>
        </w:rPr>
        <w:t>žka 41171</w:t>
      </w:r>
    </w:p>
    <w:p w14:paraId="78735009" w14:textId="029D7AEC" w:rsidR="00E852CC" w:rsidRPr="00176E66" w:rsidRDefault="00E852CC" w:rsidP="00E852C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se sídlem:</w:t>
      </w:r>
      <w:r w:rsidRPr="00176E66">
        <w:rPr>
          <w:rFonts w:ascii="Tahoma" w:hAnsi="Tahoma" w:cs="Tahoma"/>
          <w:sz w:val="16"/>
          <w:szCs w:val="16"/>
        </w:rPr>
        <w:tab/>
        <w:t>Prosecká 852/66, Praha 9 Prosek 190 00</w:t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</w:p>
    <w:p w14:paraId="7AD26413" w14:textId="6E815160" w:rsidR="00E852CC" w:rsidRPr="00176E66" w:rsidRDefault="00E852CC" w:rsidP="00E852C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IČ: 64583562</w:t>
      </w:r>
      <w:r w:rsidRPr="00176E66">
        <w:rPr>
          <w:rFonts w:ascii="Tahoma" w:hAnsi="Tahoma" w:cs="Tahoma"/>
          <w:sz w:val="16"/>
          <w:szCs w:val="16"/>
        </w:rPr>
        <w:tab/>
        <w:t>DIČ: CZ 699005618</w:t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</w:p>
    <w:p w14:paraId="74562203" w14:textId="61965BF6" w:rsidR="00E852CC" w:rsidRPr="00176E66" w:rsidRDefault="00E852CC" w:rsidP="00E852C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zastoupený:</w:t>
      </w:r>
      <w:r w:rsidRPr="00176E66">
        <w:rPr>
          <w:rFonts w:ascii="Tahoma" w:hAnsi="Tahoma" w:cs="Tahoma"/>
          <w:sz w:val="16"/>
          <w:szCs w:val="16"/>
        </w:rPr>
        <w:tab/>
        <w:t>Mgr.</w:t>
      </w:r>
      <w:r w:rsidR="00EF7C2D" w:rsidRPr="00176E66">
        <w:rPr>
          <w:rFonts w:ascii="Tahoma" w:hAnsi="Tahoma" w:cs="Tahoma"/>
          <w:sz w:val="16"/>
          <w:szCs w:val="16"/>
        </w:rPr>
        <w:t xml:space="preserve"> </w:t>
      </w:r>
      <w:r w:rsidRPr="00176E66">
        <w:rPr>
          <w:rFonts w:ascii="Tahoma" w:hAnsi="Tahoma" w:cs="Tahoma"/>
          <w:sz w:val="16"/>
          <w:szCs w:val="16"/>
        </w:rPr>
        <w:t xml:space="preserve">Michal </w:t>
      </w:r>
      <w:proofErr w:type="spellStart"/>
      <w:r w:rsidRPr="00176E66">
        <w:rPr>
          <w:rFonts w:ascii="Tahoma" w:hAnsi="Tahoma" w:cs="Tahoma"/>
          <w:sz w:val="16"/>
          <w:szCs w:val="16"/>
        </w:rPr>
        <w:t>Vondaš</w:t>
      </w:r>
      <w:proofErr w:type="spellEnd"/>
      <w:r w:rsidR="00EF7C2D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MBA, jednatel</w:t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</w:p>
    <w:p w14:paraId="2763C9B3" w14:textId="77777777" w:rsidR="00E852CC" w:rsidRPr="00176E66" w:rsidRDefault="00E852CC" w:rsidP="00E852C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bankovní spojení: </w:t>
      </w:r>
      <w:r w:rsidRPr="00176E66">
        <w:rPr>
          <w:rFonts w:ascii="Tahoma" w:hAnsi="Tahoma" w:cs="Tahoma"/>
          <w:sz w:val="16"/>
          <w:szCs w:val="16"/>
        </w:rPr>
        <w:tab/>
        <w:t>UniCredit Bank Praha</w:t>
      </w:r>
    </w:p>
    <w:p w14:paraId="3A3D8E34" w14:textId="543B23A3" w:rsidR="00E852CC" w:rsidRPr="00176E66" w:rsidRDefault="00E852CC" w:rsidP="00E852C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číslo účtu:</w:t>
      </w:r>
      <w:r w:rsidRPr="00176E66">
        <w:rPr>
          <w:rFonts w:ascii="Tahoma" w:hAnsi="Tahoma" w:cs="Tahoma"/>
          <w:sz w:val="16"/>
          <w:szCs w:val="16"/>
        </w:rPr>
        <w:tab/>
        <w:t>CZ2427000000000081880264.</w:t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</w:p>
    <w:p w14:paraId="668520E1" w14:textId="77777777" w:rsidR="00E852CC" w:rsidRPr="00176E66" w:rsidRDefault="00E852CC" w:rsidP="00E852CC">
      <w:pPr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jako </w:t>
      </w:r>
      <w:r w:rsidRPr="00176E66">
        <w:rPr>
          <w:rFonts w:ascii="Tahoma" w:hAnsi="Tahoma" w:cs="Tahoma"/>
          <w:b/>
          <w:sz w:val="16"/>
          <w:szCs w:val="16"/>
        </w:rPr>
        <w:t>prodávající</w:t>
      </w:r>
      <w:r w:rsidRPr="00176E66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3EBD337" w14:textId="77777777" w:rsidR="00477115" w:rsidRPr="00176E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176E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176E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176E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176E66" w:rsidRDefault="00E8465A" w:rsidP="00E8465A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176E66">
        <w:rPr>
          <w:rFonts w:ascii="Tahoma" w:hAnsi="Tahoma" w:cs="Tahoma"/>
          <w:sz w:val="16"/>
          <w:szCs w:val="16"/>
        </w:rPr>
        <w:t>sídlem</w:t>
      </w:r>
      <w:r w:rsidR="00DD2772" w:rsidRPr="00176E66">
        <w:rPr>
          <w:rFonts w:ascii="Tahoma" w:hAnsi="Tahoma" w:cs="Tahoma"/>
          <w:sz w:val="16"/>
          <w:szCs w:val="16"/>
        </w:rPr>
        <w:t>:</w:t>
      </w:r>
      <w:r w:rsidRPr="00176E66">
        <w:rPr>
          <w:rFonts w:ascii="Tahoma" w:hAnsi="Tahoma" w:cs="Tahoma"/>
          <w:sz w:val="16"/>
          <w:szCs w:val="16"/>
        </w:rPr>
        <w:t xml:space="preserve"> </w:t>
      </w:r>
      <w:r w:rsidR="00DD2772" w:rsidRPr="00176E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76E66">
        <w:rPr>
          <w:rFonts w:ascii="Tahoma" w:hAnsi="Tahoma" w:cs="Tahoma"/>
          <w:sz w:val="16"/>
          <w:szCs w:val="16"/>
        </w:rPr>
        <w:t xml:space="preserve">          </w:t>
      </w:r>
      <w:r w:rsidR="00A752E6"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 xml:space="preserve">U Nemocnice </w:t>
      </w:r>
      <w:r w:rsidR="00F0419D" w:rsidRPr="00176E66">
        <w:rPr>
          <w:rFonts w:ascii="Tahoma" w:hAnsi="Tahoma" w:cs="Tahoma"/>
          <w:sz w:val="16"/>
          <w:szCs w:val="16"/>
        </w:rPr>
        <w:t>499/</w:t>
      </w:r>
      <w:r w:rsidRPr="00176E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176E66" w:rsidRDefault="00E8465A" w:rsidP="00E8465A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IČ: 000</w:t>
      </w:r>
      <w:r w:rsidR="00885CE5" w:rsidRPr="00176E66">
        <w:rPr>
          <w:rFonts w:ascii="Tahoma" w:hAnsi="Tahoma" w:cs="Tahoma"/>
          <w:sz w:val="16"/>
          <w:szCs w:val="16"/>
        </w:rPr>
        <w:t xml:space="preserve"> </w:t>
      </w:r>
      <w:r w:rsidRPr="00176E66">
        <w:rPr>
          <w:rFonts w:ascii="Tahoma" w:hAnsi="Tahoma" w:cs="Tahoma"/>
          <w:sz w:val="16"/>
          <w:szCs w:val="16"/>
        </w:rPr>
        <w:t>64</w:t>
      </w:r>
      <w:r w:rsidR="00885CE5" w:rsidRPr="00176E66">
        <w:rPr>
          <w:rFonts w:ascii="Tahoma" w:hAnsi="Tahoma" w:cs="Tahoma"/>
          <w:sz w:val="16"/>
          <w:szCs w:val="16"/>
        </w:rPr>
        <w:t> </w:t>
      </w:r>
      <w:r w:rsidRPr="00176E66">
        <w:rPr>
          <w:rFonts w:ascii="Tahoma" w:hAnsi="Tahoma" w:cs="Tahoma"/>
          <w:sz w:val="16"/>
          <w:szCs w:val="16"/>
        </w:rPr>
        <w:t>165</w:t>
      </w:r>
      <w:r w:rsidR="00885CE5" w:rsidRPr="00176E66">
        <w:rPr>
          <w:rFonts w:ascii="Tahoma" w:hAnsi="Tahoma" w:cs="Tahoma"/>
          <w:sz w:val="16"/>
          <w:szCs w:val="16"/>
        </w:rPr>
        <w:t xml:space="preserve">      </w:t>
      </w:r>
      <w:r w:rsidR="00A752E6"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>DIČ:</w:t>
      </w:r>
      <w:r w:rsidR="0009067B" w:rsidRPr="00176E66">
        <w:rPr>
          <w:rFonts w:ascii="Tahoma" w:hAnsi="Tahoma" w:cs="Tahoma"/>
          <w:sz w:val="16"/>
          <w:szCs w:val="16"/>
        </w:rPr>
        <w:t xml:space="preserve"> </w:t>
      </w:r>
      <w:r w:rsidRPr="00176E66">
        <w:rPr>
          <w:rFonts w:ascii="Tahoma" w:hAnsi="Tahoma" w:cs="Tahoma"/>
          <w:sz w:val="16"/>
          <w:szCs w:val="16"/>
        </w:rPr>
        <w:t>CZ00064165</w:t>
      </w:r>
    </w:p>
    <w:p w14:paraId="2CDE0FAF" w14:textId="638D01F9" w:rsidR="00E8465A" w:rsidRPr="00176E66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176E66">
        <w:rPr>
          <w:rFonts w:ascii="Tahoma" w:hAnsi="Tahoma" w:cs="Tahoma"/>
          <w:sz w:val="16"/>
          <w:szCs w:val="16"/>
        </w:rPr>
        <w:t>zastoupená</w:t>
      </w:r>
      <w:r w:rsidR="00E8465A" w:rsidRPr="00176E66">
        <w:rPr>
          <w:rFonts w:ascii="Tahoma" w:hAnsi="Tahoma" w:cs="Tahoma"/>
          <w:sz w:val="16"/>
          <w:szCs w:val="16"/>
        </w:rPr>
        <w:t xml:space="preserve">: </w:t>
      </w:r>
      <w:r w:rsidR="00DD2772" w:rsidRPr="00176E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76E66">
        <w:rPr>
          <w:rFonts w:ascii="Tahoma" w:hAnsi="Tahoma" w:cs="Tahoma"/>
          <w:sz w:val="16"/>
          <w:szCs w:val="16"/>
        </w:rPr>
        <w:t xml:space="preserve">       </w:t>
      </w:r>
      <w:r w:rsidR="00A752E6" w:rsidRPr="00176E66">
        <w:rPr>
          <w:rFonts w:ascii="Tahoma" w:hAnsi="Tahoma" w:cs="Tahoma"/>
          <w:sz w:val="16"/>
          <w:szCs w:val="16"/>
        </w:rPr>
        <w:tab/>
      </w:r>
      <w:r w:rsidR="006B7633" w:rsidRPr="00176E66">
        <w:rPr>
          <w:rFonts w:ascii="Tahoma" w:hAnsi="Tahoma" w:cs="Tahoma"/>
          <w:sz w:val="16"/>
          <w:szCs w:val="16"/>
        </w:rPr>
        <w:t>p</w:t>
      </w:r>
      <w:r w:rsidR="006C51D8" w:rsidRPr="00176E66">
        <w:rPr>
          <w:rFonts w:ascii="Tahoma" w:hAnsi="Tahoma" w:cs="Tahoma"/>
          <w:sz w:val="16"/>
          <w:szCs w:val="16"/>
        </w:rPr>
        <w:t>rof. MUDr. David Feltl, Ph.D., MBA</w:t>
      </w:r>
      <w:r w:rsidR="007259DC" w:rsidRPr="00176E66">
        <w:rPr>
          <w:rFonts w:ascii="Tahoma" w:hAnsi="Tahoma" w:cs="Tahoma"/>
          <w:sz w:val="16"/>
          <w:szCs w:val="16"/>
        </w:rPr>
        <w:t>, ředitel</w:t>
      </w:r>
    </w:p>
    <w:p w14:paraId="5E0C8463" w14:textId="189DB756" w:rsidR="00E8465A" w:rsidRPr="00176E66" w:rsidRDefault="00E8465A" w:rsidP="00E8465A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176E66">
        <w:rPr>
          <w:rFonts w:ascii="Tahoma" w:hAnsi="Tahoma" w:cs="Tahoma"/>
          <w:sz w:val="16"/>
          <w:szCs w:val="16"/>
        </w:rPr>
        <w:t xml:space="preserve">spojení: </w:t>
      </w:r>
      <w:r w:rsidR="00885CE5" w:rsidRPr="00176E66">
        <w:rPr>
          <w:rFonts w:ascii="Tahoma" w:hAnsi="Tahoma" w:cs="Tahoma"/>
          <w:sz w:val="16"/>
          <w:szCs w:val="16"/>
        </w:rPr>
        <w:t xml:space="preserve"> </w:t>
      </w:r>
      <w:r w:rsidR="00A752E6" w:rsidRPr="00176E66">
        <w:rPr>
          <w:rFonts w:ascii="Tahoma" w:hAnsi="Tahoma" w:cs="Tahoma"/>
          <w:sz w:val="16"/>
          <w:szCs w:val="16"/>
        </w:rPr>
        <w:tab/>
      </w:r>
      <w:proofErr w:type="gramEnd"/>
      <w:r w:rsidR="007D4D23" w:rsidRPr="00176E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176E66" w:rsidRDefault="00E8465A" w:rsidP="00E8465A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>24035021/</w:t>
      </w:r>
      <w:r w:rsidR="007D4D23" w:rsidRPr="00176E66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176E66" w:rsidRDefault="00885CE5" w:rsidP="00E8465A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jako </w:t>
      </w:r>
      <w:r w:rsidRPr="00176E66">
        <w:rPr>
          <w:rFonts w:ascii="Tahoma" w:hAnsi="Tahoma" w:cs="Tahoma"/>
          <w:b/>
          <w:sz w:val="16"/>
          <w:szCs w:val="16"/>
        </w:rPr>
        <w:t xml:space="preserve">kupující </w:t>
      </w:r>
      <w:r w:rsidRPr="00176E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76E66">
        <w:rPr>
          <w:rFonts w:ascii="Tahoma" w:hAnsi="Tahoma" w:cs="Tahoma"/>
          <w:sz w:val="16"/>
          <w:szCs w:val="16"/>
        </w:rPr>
        <w:t xml:space="preserve">(dále jen </w:t>
      </w:r>
      <w:r w:rsidR="004A3CCC" w:rsidRPr="00176E66">
        <w:rPr>
          <w:rFonts w:ascii="Tahoma" w:hAnsi="Tahoma" w:cs="Tahoma"/>
          <w:sz w:val="16"/>
          <w:szCs w:val="16"/>
        </w:rPr>
        <w:t>„</w:t>
      </w:r>
      <w:r w:rsidR="00E8465A" w:rsidRPr="00176E66">
        <w:rPr>
          <w:rFonts w:ascii="Tahoma" w:hAnsi="Tahoma" w:cs="Tahoma"/>
          <w:sz w:val="16"/>
          <w:szCs w:val="16"/>
        </w:rPr>
        <w:t>kupující</w:t>
      </w:r>
      <w:r w:rsidR="00A76D75" w:rsidRPr="00176E66">
        <w:rPr>
          <w:rFonts w:ascii="Tahoma" w:hAnsi="Tahoma" w:cs="Tahoma"/>
          <w:sz w:val="16"/>
          <w:szCs w:val="16"/>
        </w:rPr>
        <w:t>“</w:t>
      </w:r>
      <w:r w:rsidR="00E8465A" w:rsidRPr="00176E66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176E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40CCFEBC" w:rsidR="00DD2772" w:rsidRPr="00176E66" w:rsidRDefault="00FE18D2" w:rsidP="00E8465A">
      <w:pPr>
        <w:jc w:val="both"/>
        <w:rPr>
          <w:rFonts w:ascii="Tahoma" w:hAnsi="Tahoma" w:cs="Tahoma"/>
          <w:sz w:val="16"/>
          <w:szCs w:val="16"/>
        </w:rPr>
      </w:pPr>
      <w:r w:rsidRPr="00FE18D2">
        <w:rPr>
          <w:rFonts w:ascii="Tahoma" w:hAnsi="Tahoma" w:cs="Tahoma"/>
          <w:sz w:val="16"/>
          <w:szCs w:val="16"/>
        </w:rPr>
        <w:t>uzavřeli níže uvedeného dne, měsíce a roku dle ustanovení § 1746 odst. 2 a § 2079 a násl. zákona č. 89/2012 Sb., občanského zákoníku a na základě vyhodnocení výsledků nadlimitní veřejné zakázky s názvem „</w:t>
      </w:r>
      <w:r w:rsidRPr="00FE18D2">
        <w:rPr>
          <w:rFonts w:ascii="Tahoma" w:hAnsi="Tahoma" w:cs="Tahoma"/>
          <w:b/>
          <w:sz w:val="16"/>
          <w:szCs w:val="16"/>
        </w:rPr>
        <w:t xml:space="preserve">IROP - </w:t>
      </w:r>
      <w:proofErr w:type="spellStart"/>
      <w:r w:rsidRPr="00FE18D2">
        <w:rPr>
          <w:rFonts w:ascii="Tahoma" w:hAnsi="Tahoma" w:cs="Tahoma"/>
          <w:b/>
          <w:sz w:val="16"/>
          <w:szCs w:val="16"/>
        </w:rPr>
        <w:t>Onkogynekologie</w:t>
      </w:r>
      <w:proofErr w:type="spellEnd"/>
      <w:r w:rsidRPr="00FE18D2">
        <w:rPr>
          <w:rFonts w:ascii="Tahoma" w:hAnsi="Tahoma" w:cs="Tahoma"/>
          <w:b/>
          <w:sz w:val="16"/>
          <w:szCs w:val="16"/>
        </w:rPr>
        <w:t xml:space="preserve"> - Elektrochirurgický generátor vč. pokročilé bipolární koagulace</w:t>
      </w:r>
      <w:r w:rsidRPr="00FE18D2">
        <w:rPr>
          <w:rFonts w:ascii="Tahoma" w:hAnsi="Tahoma" w:cs="Tahoma"/>
          <w:sz w:val="16"/>
          <w:szCs w:val="16"/>
        </w:rPr>
        <w:t>“, vyhlášené otevřeným řízením dle zákona č. 134/2016 Sb., o zadávání veřejných zakázek (dále jen „z. č. 134/2016 Sb.“) a zveřejněné ve Věstníku veřejných zakázek pod ev. č. VZ: Z2019-009144 ze dne 22.3.2019 a v Úředním věstníku Evropské unie pod č. oznámení o zahájení zadávacího říze</w:t>
      </w:r>
      <w:bookmarkStart w:id="0" w:name="_GoBack"/>
      <w:bookmarkEnd w:id="0"/>
      <w:r w:rsidRPr="00FE18D2">
        <w:rPr>
          <w:rFonts w:ascii="Tahoma" w:hAnsi="Tahoma" w:cs="Tahoma"/>
          <w:sz w:val="16"/>
          <w:szCs w:val="16"/>
        </w:rPr>
        <w:t>ní 2019/S 058-133246 ze dne 22.3.2019 (dále jen „veřejná zakázka“), tuto</w:t>
      </w:r>
    </w:p>
    <w:p w14:paraId="44ED2EAA" w14:textId="77777777" w:rsidR="00027601" w:rsidRPr="00176E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176E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176E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176E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176E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176E6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666D339A" w:rsidR="005C5BA9" w:rsidRPr="00176E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Předmětem plnění této smlouvy jsou</w:t>
      </w:r>
      <w:r w:rsidRPr="00176E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176E66">
        <w:rPr>
          <w:rFonts w:ascii="Tahoma" w:hAnsi="Tahoma" w:cs="Tahoma"/>
          <w:b/>
          <w:sz w:val="16"/>
          <w:szCs w:val="16"/>
        </w:rPr>
        <w:t xml:space="preserve"> </w:t>
      </w:r>
      <w:r w:rsidR="00CF5639" w:rsidRPr="00176E66">
        <w:rPr>
          <w:rFonts w:ascii="Tahoma" w:hAnsi="Tahoma" w:cs="Tahoma"/>
          <w:b/>
          <w:sz w:val="16"/>
          <w:szCs w:val="16"/>
        </w:rPr>
        <w:t xml:space="preserve">spotřebního </w:t>
      </w:r>
      <w:r w:rsidR="00765F9E" w:rsidRPr="00176E66">
        <w:rPr>
          <w:rFonts w:ascii="Tahoma" w:hAnsi="Tahoma" w:cs="Tahoma"/>
          <w:b/>
          <w:sz w:val="16"/>
          <w:szCs w:val="16"/>
        </w:rPr>
        <w:t>zdravotnického materiálu</w:t>
      </w:r>
      <w:r w:rsidR="001B21EF" w:rsidRPr="00176E66">
        <w:rPr>
          <w:rFonts w:ascii="Tahoma" w:hAnsi="Tahoma" w:cs="Tahoma"/>
          <w:b/>
          <w:sz w:val="16"/>
          <w:szCs w:val="16"/>
        </w:rPr>
        <w:t xml:space="preserve"> pro Elektrochirurgický generátor vč. pokročilé bipolární koagulace</w:t>
      </w:r>
      <w:r w:rsidR="0029498E" w:rsidRPr="00176E66">
        <w:rPr>
          <w:rFonts w:ascii="Tahoma" w:hAnsi="Tahoma" w:cs="Tahoma"/>
          <w:sz w:val="16"/>
          <w:szCs w:val="16"/>
        </w:rPr>
        <w:t xml:space="preserve">, </w:t>
      </w:r>
      <w:r w:rsidR="00765F9E" w:rsidRPr="00176E66">
        <w:rPr>
          <w:rFonts w:ascii="Tahoma" w:hAnsi="Tahoma" w:cs="Tahoma"/>
          <w:sz w:val="16"/>
          <w:szCs w:val="16"/>
        </w:rPr>
        <w:t xml:space="preserve">jehož </w:t>
      </w:r>
      <w:r w:rsidRPr="00176E66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176E66">
        <w:rPr>
          <w:rFonts w:ascii="Tahoma" w:hAnsi="Tahoma" w:cs="Tahoma"/>
          <w:sz w:val="16"/>
          <w:szCs w:val="16"/>
        </w:rPr>
        <w:t xml:space="preserve"> Položkovém ceníku </w:t>
      </w:r>
      <w:r w:rsidRPr="00176E66">
        <w:rPr>
          <w:rFonts w:ascii="Tahoma" w:hAnsi="Tahoma" w:cs="Tahoma"/>
          <w:sz w:val="16"/>
          <w:szCs w:val="16"/>
        </w:rPr>
        <w:t xml:space="preserve">zboží dle výsledků </w:t>
      </w:r>
      <w:r w:rsidR="00AB7C97" w:rsidRPr="00176E66">
        <w:rPr>
          <w:rFonts w:ascii="Tahoma" w:hAnsi="Tahoma" w:cs="Tahoma"/>
          <w:sz w:val="16"/>
          <w:szCs w:val="16"/>
        </w:rPr>
        <w:t>veřejné zakázky</w:t>
      </w:r>
      <w:r w:rsidRPr="00176E66">
        <w:rPr>
          <w:rFonts w:ascii="Tahoma" w:hAnsi="Tahoma" w:cs="Tahoma"/>
          <w:sz w:val="16"/>
          <w:szCs w:val="16"/>
        </w:rPr>
        <w:t xml:space="preserve"> č. </w:t>
      </w:r>
      <w:r w:rsidR="00E852CC" w:rsidRPr="00176E66">
        <w:rPr>
          <w:rFonts w:ascii="Tahoma" w:hAnsi="Tahoma" w:cs="Tahoma"/>
          <w:sz w:val="16"/>
          <w:szCs w:val="16"/>
        </w:rPr>
        <w:t xml:space="preserve">Z2019-009144 </w:t>
      </w:r>
      <w:r w:rsidRPr="00176E66">
        <w:rPr>
          <w:rFonts w:ascii="Tahoma" w:hAnsi="Tahoma" w:cs="Tahoma"/>
          <w:sz w:val="16"/>
          <w:szCs w:val="16"/>
        </w:rPr>
        <w:t>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176E66">
        <w:rPr>
          <w:rFonts w:ascii="Tahoma" w:hAnsi="Tahoma" w:cs="Tahoma"/>
          <w:sz w:val="16"/>
          <w:szCs w:val="16"/>
        </w:rPr>
        <w:t>, popřípadě na místo uvedené v objednávce</w:t>
      </w:r>
      <w:r w:rsidRPr="00176E66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176E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7925E055" w:rsidR="00477115" w:rsidRPr="00176E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76E66">
        <w:rPr>
          <w:rFonts w:ascii="Tahoma" w:hAnsi="Tahoma" w:cs="Tahoma"/>
          <w:sz w:val="16"/>
          <w:szCs w:val="16"/>
        </w:rPr>
        <w:t>uvedené</w:t>
      </w:r>
      <w:r w:rsidR="0002264F" w:rsidRPr="00176E66">
        <w:rPr>
          <w:rFonts w:ascii="Tahoma" w:hAnsi="Tahoma" w:cs="Tahoma"/>
          <w:sz w:val="16"/>
          <w:szCs w:val="16"/>
        </w:rPr>
        <w:t xml:space="preserve"> </w:t>
      </w:r>
      <w:r w:rsidR="00765A23" w:rsidRPr="00176E66">
        <w:rPr>
          <w:rFonts w:ascii="Tahoma" w:hAnsi="Tahoma" w:cs="Tahoma"/>
          <w:sz w:val="16"/>
          <w:szCs w:val="16"/>
        </w:rPr>
        <w:t xml:space="preserve">v zadání </w:t>
      </w:r>
      <w:r w:rsidR="00E46B75" w:rsidRPr="00176E66">
        <w:rPr>
          <w:rFonts w:ascii="Tahoma" w:hAnsi="Tahoma" w:cs="Tahoma"/>
          <w:sz w:val="16"/>
          <w:szCs w:val="16"/>
        </w:rPr>
        <w:t>veřejné zakázky</w:t>
      </w:r>
      <w:r w:rsidRPr="00176E66">
        <w:rPr>
          <w:rFonts w:ascii="Tahoma" w:hAnsi="Tahoma" w:cs="Tahoma"/>
          <w:sz w:val="16"/>
          <w:szCs w:val="16"/>
        </w:rPr>
        <w:t xml:space="preserve"> je </w:t>
      </w:r>
      <w:r w:rsidR="00765A23" w:rsidRPr="00176E66">
        <w:rPr>
          <w:rFonts w:ascii="Tahoma" w:hAnsi="Tahoma" w:cs="Tahoma"/>
          <w:sz w:val="16"/>
          <w:szCs w:val="16"/>
        </w:rPr>
        <w:t>pouze množstvím orientačním</w:t>
      </w:r>
      <w:r w:rsidRPr="00176E66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A90B90B" w14:textId="77777777" w:rsidR="00041D77" w:rsidRPr="00176E66" w:rsidRDefault="00041D77" w:rsidP="007768E1">
      <w:pPr>
        <w:numPr>
          <w:ilvl w:val="0"/>
          <w:numId w:val="11"/>
        </w:numPr>
        <w:autoSpaceDN w:val="0"/>
        <w:ind w:right="23"/>
        <w:jc w:val="both"/>
        <w:rPr>
          <w:rFonts w:ascii="Tahoma" w:hAnsi="Tahoma" w:cs="Tahoma"/>
          <w:sz w:val="16"/>
          <w:szCs w:val="16"/>
        </w:rPr>
      </w:pPr>
      <w:bookmarkStart w:id="1" w:name="_Hlk498594967"/>
      <w:r w:rsidRPr="00176E66">
        <w:rPr>
          <w:rFonts w:ascii="Tahoma" w:hAnsi="Tahoma" w:cs="Tahoma"/>
          <w:sz w:val="16"/>
          <w:szCs w:val="16"/>
        </w:rPr>
        <w:t>Kupující v průběhu trvání této smlouvy umožňuje na základě písemné dohody s prodávajícím dodávku i jiného typu zboží, pokud se jedná o inovovaný produkt, který je zároveň:</w:t>
      </w:r>
    </w:p>
    <w:p w14:paraId="0D17B5BD" w14:textId="77777777" w:rsidR="00041D77" w:rsidRPr="00176E66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shodné či vyšší kvality než vysoutěžený typ a svými parametry splňuje minimální požadavky kupujícího stanovené v příslušné části zadávací dokumentace; a</w:t>
      </w:r>
    </w:p>
    <w:p w14:paraId="61A3C5DC" w14:textId="77777777" w:rsidR="00041D77" w:rsidRPr="00176E66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kupující s dodávkou tohoto nového produktu souhlasí; a</w:t>
      </w:r>
    </w:p>
    <w:p w14:paraId="38EEE44C" w14:textId="0DBC242E" w:rsidR="00811ECD" w:rsidRPr="00176E66" w:rsidRDefault="00041D77" w:rsidP="00E510D5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nedojde k navýšení ceny.</w:t>
      </w:r>
      <w:bookmarkEnd w:id="1"/>
    </w:p>
    <w:p w14:paraId="598D9613" w14:textId="77777777" w:rsidR="00E61CE9" w:rsidRPr="00176E66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176E6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2" w:name="_Hlk530388711"/>
      <w:r w:rsidRPr="00176E66">
        <w:rPr>
          <w:rFonts w:ascii="Tahoma" w:hAnsi="Tahoma" w:cs="Tahoma"/>
          <w:b/>
          <w:sz w:val="16"/>
          <w:szCs w:val="16"/>
        </w:rPr>
        <w:t>Kupní</w:t>
      </w:r>
      <w:r w:rsidR="005C5BA9" w:rsidRPr="00176E66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459DB9C4" w:rsidR="00170978" w:rsidRPr="00176E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76E66">
        <w:rPr>
          <w:rFonts w:ascii="Tahoma" w:hAnsi="Tahoma" w:cs="Tahoma"/>
          <w:sz w:val="16"/>
          <w:szCs w:val="16"/>
        </w:rPr>
        <w:t xml:space="preserve">stanovena </w:t>
      </w:r>
      <w:r w:rsidR="00943059" w:rsidRPr="00176E66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176E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176E66">
        <w:rPr>
          <w:rFonts w:ascii="Tahoma" w:hAnsi="Tahoma" w:cs="Tahoma"/>
          <w:sz w:val="16"/>
          <w:szCs w:val="16"/>
        </w:rPr>
        <w:t>Ceny</w:t>
      </w:r>
      <w:r w:rsidR="00235AE3" w:rsidRPr="00176E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176E66">
        <w:rPr>
          <w:rFonts w:ascii="Tahoma" w:hAnsi="Tahoma" w:cs="Tahoma"/>
          <w:sz w:val="16"/>
          <w:szCs w:val="16"/>
        </w:rPr>
        <w:t>sou</w:t>
      </w:r>
      <w:r w:rsidR="00235AE3" w:rsidRPr="00176E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176E66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176E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176E66">
        <w:rPr>
          <w:rFonts w:ascii="Tahoma" w:hAnsi="Tahoma" w:cs="Tahoma"/>
          <w:sz w:val="16"/>
          <w:szCs w:val="16"/>
        </w:rPr>
        <w:t>, příp. zaškolení</w:t>
      </w:r>
      <w:r w:rsidR="00B97CB4" w:rsidRPr="00176E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176E66">
        <w:rPr>
          <w:rFonts w:ascii="Tahoma" w:hAnsi="Tahoma" w:cs="Tahoma"/>
          <w:sz w:val="16"/>
          <w:szCs w:val="16"/>
        </w:rPr>
        <w:t xml:space="preserve"> personálu</w:t>
      </w:r>
      <w:r w:rsidRPr="00176E66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176E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176E66">
        <w:rPr>
          <w:rFonts w:ascii="Tahoma" w:hAnsi="Tahoma" w:cs="Tahoma"/>
          <w:sz w:val="16"/>
          <w:szCs w:val="16"/>
        </w:rPr>
        <w:t xml:space="preserve">níže </w:t>
      </w:r>
      <w:r w:rsidRPr="00176E66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176E66">
        <w:rPr>
          <w:rFonts w:ascii="Tahoma" w:hAnsi="Tahoma" w:cs="Tahoma"/>
          <w:sz w:val="16"/>
          <w:szCs w:val="16"/>
        </w:rPr>
        <w:t>5</w:t>
      </w:r>
      <w:r w:rsidRPr="00176E66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176E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176E66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176E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176E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52A6E0D0" w:rsidR="00235AE3" w:rsidRPr="00176E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176E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B978276" w14:textId="61EF1282" w:rsidR="00E8465A" w:rsidRPr="00176E66" w:rsidRDefault="00E8465A" w:rsidP="007768E1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lastRenderedPageBreak/>
        <w:t>Dodací podmínky</w:t>
      </w:r>
    </w:p>
    <w:p w14:paraId="7E74D848" w14:textId="121B6264" w:rsidR="00D96EB9" w:rsidRPr="00176E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176E66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176E66">
        <w:rPr>
          <w:rFonts w:ascii="Tahoma" w:hAnsi="Tahoma" w:cs="Tahoma"/>
          <w:sz w:val="16"/>
          <w:szCs w:val="16"/>
        </w:rPr>
        <w:t>I</w:t>
      </w:r>
      <w:r w:rsidR="003C35B0" w:rsidRPr="00176E66">
        <w:rPr>
          <w:rFonts w:ascii="Tahoma" w:hAnsi="Tahoma" w:cs="Tahoma"/>
          <w:sz w:val="16"/>
          <w:szCs w:val="16"/>
        </w:rPr>
        <w:t xml:space="preserve">. </w:t>
      </w:r>
      <w:r w:rsidR="005B63FB" w:rsidRPr="00176E66">
        <w:rPr>
          <w:rFonts w:ascii="Tahoma" w:hAnsi="Tahoma" w:cs="Tahoma"/>
          <w:sz w:val="16"/>
          <w:szCs w:val="16"/>
        </w:rPr>
        <w:t xml:space="preserve">odst. </w:t>
      </w:r>
      <w:r w:rsidR="003C35B0" w:rsidRPr="00176E66">
        <w:rPr>
          <w:rFonts w:ascii="Tahoma" w:hAnsi="Tahoma" w:cs="Tahoma"/>
          <w:sz w:val="16"/>
          <w:szCs w:val="16"/>
        </w:rPr>
        <w:t>1 této smlouvy</w:t>
      </w:r>
      <w:r w:rsidR="002C56F6" w:rsidRPr="00176E66">
        <w:rPr>
          <w:rFonts w:ascii="Tahoma" w:hAnsi="Tahoma" w:cs="Tahoma"/>
          <w:sz w:val="16"/>
          <w:szCs w:val="16"/>
        </w:rPr>
        <w:t>.</w:t>
      </w:r>
      <w:r w:rsidR="003C35B0" w:rsidRPr="00176E66">
        <w:rPr>
          <w:rFonts w:ascii="Tahoma" w:hAnsi="Tahoma" w:cs="Tahoma"/>
          <w:sz w:val="16"/>
          <w:szCs w:val="16"/>
        </w:rPr>
        <w:t xml:space="preserve"> </w:t>
      </w:r>
      <w:r w:rsidR="001C5F99" w:rsidRPr="00176E66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176E66">
        <w:rPr>
          <w:rFonts w:ascii="Tahoma" w:hAnsi="Tahoma" w:cs="Tahoma"/>
          <w:sz w:val="16"/>
          <w:szCs w:val="16"/>
        </w:rPr>
        <w:t xml:space="preserve"> nebo na </w:t>
      </w:r>
      <w:r w:rsidR="003C35B0" w:rsidRPr="00176E66">
        <w:rPr>
          <w:rFonts w:ascii="Tahoma" w:hAnsi="Tahoma" w:cs="Tahoma"/>
          <w:sz w:val="16"/>
          <w:szCs w:val="16"/>
        </w:rPr>
        <w:t>adresu uvedenou v čl. VII</w:t>
      </w:r>
      <w:r w:rsidR="00B85502" w:rsidRPr="00176E66">
        <w:rPr>
          <w:rFonts w:ascii="Tahoma" w:hAnsi="Tahoma" w:cs="Tahoma"/>
          <w:sz w:val="16"/>
          <w:szCs w:val="16"/>
        </w:rPr>
        <w:t>I</w:t>
      </w:r>
      <w:r w:rsidR="003C35B0" w:rsidRPr="00176E66">
        <w:rPr>
          <w:rFonts w:ascii="Tahoma" w:hAnsi="Tahoma" w:cs="Tahoma"/>
          <w:sz w:val="16"/>
          <w:szCs w:val="16"/>
        </w:rPr>
        <w:t xml:space="preserve">. </w:t>
      </w:r>
      <w:r w:rsidR="005B63FB" w:rsidRPr="00176E66">
        <w:rPr>
          <w:rFonts w:ascii="Tahoma" w:hAnsi="Tahoma" w:cs="Tahoma"/>
          <w:sz w:val="16"/>
          <w:szCs w:val="16"/>
        </w:rPr>
        <w:t xml:space="preserve">odst. </w:t>
      </w:r>
      <w:r w:rsidR="003C35B0" w:rsidRPr="00176E66">
        <w:rPr>
          <w:rFonts w:ascii="Tahoma" w:hAnsi="Tahoma" w:cs="Tahoma"/>
          <w:sz w:val="16"/>
          <w:szCs w:val="16"/>
        </w:rPr>
        <w:t>2 této smlouvy</w:t>
      </w:r>
      <w:r w:rsidR="001C5F99" w:rsidRPr="00176E66">
        <w:rPr>
          <w:rFonts w:ascii="Tahoma" w:hAnsi="Tahoma" w:cs="Tahoma"/>
          <w:sz w:val="16"/>
          <w:szCs w:val="16"/>
        </w:rPr>
        <w:t>.</w:t>
      </w:r>
      <w:r w:rsidR="00F0419D" w:rsidRPr="00176E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176E66">
        <w:rPr>
          <w:rFonts w:ascii="Tahoma" w:hAnsi="Tahoma" w:cs="Tahoma"/>
          <w:sz w:val="16"/>
          <w:szCs w:val="16"/>
        </w:rPr>
        <w:t>m</w:t>
      </w:r>
      <w:r w:rsidR="00F0419D" w:rsidRPr="00176E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176E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176E66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176E66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176E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176E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176E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176E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176E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176E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65106EAD" w:rsidR="00270110" w:rsidRPr="00176E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7768E1" w:rsidRPr="00176E66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176E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176E6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176E66">
        <w:rPr>
          <w:rFonts w:ascii="Tahoma" w:hAnsi="Tahoma" w:cs="Tahoma"/>
          <w:sz w:val="16"/>
          <w:szCs w:val="16"/>
          <w:lang w:bidi="en-US"/>
        </w:rPr>
        <w:t>. Na dodacím list</w:t>
      </w:r>
      <w:r w:rsidRPr="00176E66">
        <w:rPr>
          <w:rFonts w:ascii="Tahoma" w:hAnsi="Tahoma" w:cs="Tahoma"/>
          <w:sz w:val="16"/>
          <w:szCs w:val="16"/>
        </w:rPr>
        <w:t xml:space="preserve">u </w:t>
      </w:r>
      <w:r w:rsidR="00850641" w:rsidRPr="00176E66">
        <w:rPr>
          <w:rFonts w:ascii="Tahoma" w:hAnsi="Tahoma" w:cs="Tahoma"/>
          <w:sz w:val="16"/>
          <w:szCs w:val="16"/>
        </w:rPr>
        <w:t xml:space="preserve">nebo faktuře </w:t>
      </w:r>
      <w:r w:rsidRPr="00176E6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176E66">
        <w:rPr>
          <w:rFonts w:ascii="Tahoma" w:hAnsi="Tahoma" w:cs="Tahoma"/>
          <w:sz w:val="16"/>
          <w:szCs w:val="16"/>
        </w:rPr>
        <w:t>, včetně</w:t>
      </w:r>
      <w:r w:rsidR="001A7FE5" w:rsidRPr="00176E66">
        <w:rPr>
          <w:rFonts w:ascii="Tahoma" w:hAnsi="Tahoma" w:cs="Tahoma"/>
          <w:sz w:val="16"/>
          <w:szCs w:val="16"/>
        </w:rPr>
        <w:t xml:space="preserve"> identifikac</w:t>
      </w:r>
      <w:r w:rsidR="0004228C" w:rsidRPr="00176E66">
        <w:rPr>
          <w:rFonts w:ascii="Tahoma" w:hAnsi="Tahoma" w:cs="Tahoma"/>
          <w:sz w:val="16"/>
          <w:szCs w:val="16"/>
        </w:rPr>
        <w:t>e</w:t>
      </w:r>
      <w:r w:rsidR="001A7FE5" w:rsidRPr="00176E6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176E66">
        <w:rPr>
          <w:rFonts w:ascii="Tahoma" w:hAnsi="Tahoma" w:cs="Tahoma"/>
          <w:sz w:val="16"/>
          <w:szCs w:val="16"/>
        </w:rPr>
        <w:t xml:space="preserve">, </w:t>
      </w:r>
      <w:r w:rsidR="0050687B" w:rsidRPr="00176E66">
        <w:rPr>
          <w:rFonts w:ascii="Tahoma" w:hAnsi="Tahoma" w:cs="Tahoma"/>
          <w:sz w:val="16"/>
          <w:szCs w:val="16"/>
        </w:rPr>
        <w:t xml:space="preserve">třídu </w:t>
      </w:r>
      <w:r w:rsidR="00850641" w:rsidRPr="00176E66">
        <w:rPr>
          <w:rFonts w:ascii="Tahoma" w:hAnsi="Tahoma" w:cs="Tahoma"/>
          <w:sz w:val="16"/>
          <w:szCs w:val="16"/>
        </w:rPr>
        <w:t>zdravotnického prostředku</w:t>
      </w:r>
      <w:r w:rsidR="001A7FE5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176E66">
        <w:rPr>
          <w:rFonts w:ascii="Tahoma" w:hAnsi="Tahoma" w:cs="Tahoma"/>
          <w:sz w:val="16"/>
          <w:szCs w:val="16"/>
        </w:rPr>
        <w:t xml:space="preserve">nebo faktura </w:t>
      </w:r>
      <w:r w:rsidRPr="00176E6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176E66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176E66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176E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176E66">
        <w:rPr>
          <w:rFonts w:ascii="Tahoma" w:hAnsi="Tahoma" w:cs="Tahoma"/>
          <w:sz w:val="16"/>
          <w:szCs w:val="16"/>
        </w:rPr>
        <w:t>, zejména prohlášení o shodě</w:t>
      </w:r>
      <w:r w:rsidR="00B85502" w:rsidRPr="00176E66">
        <w:rPr>
          <w:rFonts w:ascii="Tahoma" w:hAnsi="Tahoma" w:cs="Tahoma"/>
          <w:sz w:val="16"/>
          <w:szCs w:val="16"/>
        </w:rPr>
        <w:t>,</w:t>
      </w:r>
      <w:r w:rsidR="002B22B7" w:rsidRPr="00176E66">
        <w:rPr>
          <w:rFonts w:ascii="Tahoma" w:hAnsi="Tahoma" w:cs="Tahoma"/>
          <w:sz w:val="16"/>
          <w:szCs w:val="16"/>
        </w:rPr>
        <w:t xml:space="preserve"> </w:t>
      </w:r>
      <w:r w:rsidR="00383A02" w:rsidRPr="00176E66">
        <w:rPr>
          <w:rFonts w:ascii="Tahoma" w:hAnsi="Tahoma" w:cs="Tahoma"/>
          <w:sz w:val="16"/>
          <w:szCs w:val="16"/>
        </w:rPr>
        <w:t>certifikát CE</w:t>
      </w:r>
      <w:r w:rsidR="001A7FE5" w:rsidRPr="00176E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176E66">
        <w:rPr>
          <w:rFonts w:ascii="Tahoma" w:hAnsi="Tahoma" w:cs="Tahoma"/>
          <w:sz w:val="16"/>
          <w:szCs w:val="16"/>
        </w:rPr>
        <w:t xml:space="preserve"> </w:t>
      </w:r>
      <w:r w:rsidR="002B22B7" w:rsidRPr="00176E66">
        <w:rPr>
          <w:rFonts w:ascii="Tahoma" w:hAnsi="Tahoma" w:cs="Tahoma"/>
          <w:sz w:val="16"/>
          <w:szCs w:val="16"/>
        </w:rPr>
        <w:t>a návod k </w:t>
      </w:r>
      <w:r w:rsidR="00D53F20" w:rsidRPr="00176E66">
        <w:rPr>
          <w:rFonts w:ascii="Tahoma" w:hAnsi="Tahoma" w:cs="Tahoma"/>
          <w:sz w:val="16"/>
          <w:szCs w:val="16"/>
        </w:rPr>
        <w:t>použití</w:t>
      </w:r>
      <w:r w:rsidR="002B22B7" w:rsidRPr="00176E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176E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176E66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176E66">
        <w:rPr>
          <w:rFonts w:ascii="Tahoma" w:hAnsi="Tahoma" w:cs="Tahoma"/>
          <w:sz w:val="16"/>
          <w:szCs w:val="16"/>
        </w:rPr>
        <w:t>.</w:t>
      </w:r>
      <w:r w:rsidR="00925ABC" w:rsidRPr="00176E66">
        <w:rPr>
          <w:rFonts w:ascii="Tahoma" w:hAnsi="Tahoma" w:cs="Tahoma"/>
          <w:sz w:val="16"/>
          <w:szCs w:val="16"/>
        </w:rPr>
        <w:t xml:space="preserve"> </w:t>
      </w:r>
    </w:p>
    <w:p w14:paraId="6F708EBB" w14:textId="3F9A4E4D" w:rsidR="00D96EB9" w:rsidRPr="00176E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B90FA2" w:rsidRPr="00176E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176E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176E66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176E66">
        <w:rPr>
          <w:rFonts w:ascii="Tahoma" w:hAnsi="Tahoma" w:cs="Tahoma"/>
          <w:sz w:val="16"/>
          <w:szCs w:val="16"/>
        </w:rPr>
        <w:t>268/2014</w:t>
      </w:r>
      <w:r w:rsidRPr="00176E66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176E66">
        <w:rPr>
          <w:rFonts w:ascii="Tahoma" w:hAnsi="Tahoma" w:cs="Tahoma"/>
          <w:sz w:val="16"/>
          <w:szCs w:val="16"/>
        </w:rPr>
        <w:t>.</w:t>
      </w:r>
      <w:r w:rsidRPr="00176E66">
        <w:rPr>
          <w:rFonts w:ascii="Tahoma" w:hAnsi="Tahoma" w:cs="Tahoma"/>
          <w:sz w:val="16"/>
          <w:szCs w:val="16"/>
        </w:rPr>
        <w:t xml:space="preserve"> </w:t>
      </w:r>
    </w:p>
    <w:p w14:paraId="2891DCD5" w14:textId="4272CEF8" w:rsidR="00ED1F14" w:rsidRPr="00176E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zajistí odbornou instruktáž zástupců kupujícího dle z. č. 268/</w:t>
      </w:r>
      <w:r w:rsidR="008058E5" w:rsidRPr="00176E66">
        <w:rPr>
          <w:rFonts w:ascii="Tahoma" w:hAnsi="Tahoma" w:cs="Tahoma"/>
          <w:sz w:val="16"/>
          <w:szCs w:val="16"/>
        </w:rPr>
        <w:t>2014 Sb.</w:t>
      </w:r>
      <w:r w:rsidRPr="00176E66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4CBF4C11" w14:textId="77777777" w:rsidR="00876A1F" w:rsidRPr="00176E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1DA8670F" w:rsidR="00876A1F" w:rsidRPr="00176E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Prodávající </w:t>
      </w:r>
      <w:r w:rsidR="00B90FA2" w:rsidRPr="00176E66">
        <w:rPr>
          <w:rFonts w:ascii="Tahoma" w:hAnsi="Tahoma" w:cs="Tahoma"/>
          <w:sz w:val="16"/>
          <w:szCs w:val="16"/>
        </w:rPr>
        <w:t xml:space="preserve">odpovídá </w:t>
      </w:r>
      <w:r w:rsidRPr="00176E66">
        <w:rPr>
          <w:rFonts w:ascii="Tahoma" w:hAnsi="Tahoma" w:cs="Tahoma"/>
          <w:sz w:val="16"/>
          <w:szCs w:val="16"/>
        </w:rPr>
        <w:t>za dodržení přepravních podmínek po dobu přepravy k</w:t>
      </w:r>
      <w:r w:rsidR="00B90FA2" w:rsidRPr="00176E66">
        <w:rPr>
          <w:rFonts w:ascii="Tahoma" w:hAnsi="Tahoma" w:cs="Tahoma"/>
          <w:sz w:val="16"/>
          <w:szCs w:val="16"/>
        </w:rPr>
        <w:t>e</w:t>
      </w:r>
      <w:r w:rsidRPr="00176E66">
        <w:rPr>
          <w:rFonts w:ascii="Tahoma" w:hAnsi="Tahoma" w:cs="Tahoma"/>
          <w:sz w:val="16"/>
          <w:szCs w:val="16"/>
        </w:rPr>
        <w:t> </w:t>
      </w:r>
      <w:r w:rsidR="00B90FA2" w:rsidRPr="00176E66">
        <w:rPr>
          <w:rFonts w:ascii="Tahoma" w:hAnsi="Tahoma" w:cs="Tahoma"/>
          <w:sz w:val="16"/>
          <w:szCs w:val="16"/>
        </w:rPr>
        <w:t>kupujícímu</w:t>
      </w:r>
      <w:r w:rsidRPr="00176E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176E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2FA0DC84" w:rsidR="00FF0737" w:rsidRPr="00176E66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176E66">
        <w:rPr>
          <w:rFonts w:ascii="Tahoma" w:hAnsi="Tahoma" w:cs="Tahoma"/>
          <w:sz w:val="16"/>
          <w:szCs w:val="16"/>
        </w:rPr>
        <w:t>o</w:t>
      </w:r>
      <w:r w:rsidR="0050687B" w:rsidRPr="00176E66">
        <w:rPr>
          <w:rFonts w:ascii="Tahoma" w:hAnsi="Tahoma" w:cs="Tahoma"/>
          <w:sz w:val="16"/>
          <w:szCs w:val="16"/>
        </w:rPr>
        <w:t xml:space="preserve"> </w:t>
      </w:r>
      <w:r w:rsidR="007768E1" w:rsidRPr="00176E66">
        <w:rPr>
          <w:rFonts w:ascii="Tahoma" w:hAnsi="Tahoma" w:cs="Tahoma"/>
          <w:sz w:val="16"/>
          <w:szCs w:val="16"/>
        </w:rPr>
        <w:t>2</w:t>
      </w:r>
      <w:r w:rsidR="00947338" w:rsidRPr="00176E66">
        <w:rPr>
          <w:rFonts w:ascii="Tahoma" w:hAnsi="Tahoma" w:cs="Tahoma"/>
          <w:sz w:val="16"/>
          <w:szCs w:val="16"/>
        </w:rPr>
        <w:t xml:space="preserve"> </w:t>
      </w:r>
      <w:r w:rsidRPr="00176E66">
        <w:rPr>
          <w:rFonts w:ascii="Tahoma" w:hAnsi="Tahoma" w:cs="Tahoma"/>
          <w:sz w:val="16"/>
          <w:szCs w:val="16"/>
        </w:rPr>
        <w:t>dnů od účinnosti této změny.</w:t>
      </w:r>
    </w:p>
    <w:p w14:paraId="72D12045" w14:textId="77777777" w:rsidR="00876A1F" w:rsidRPr="00176E66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176E66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176E6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0A6956B8" w:rsidR="00E8465A" w:rsidRPr="00176E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176E66">
        <w:rPr>
          <w:rFonts w:ascii="Tahoma" w:hAnsi="Tahoma" w:cs="Tahoma"/>
          <w:sz w:val="16"/>
          <w:szCs w:val="16"/>
        </w:rPr>
        <w:t> </w:t>
      </w:r>
      <w:r w:rsidRPr="00176E66">
        <w:rPr>
          <w:rFonts w:ascii="Tahoma" w:hAnsi="Tahoma" w:cs="Tahoma"/>
          <w:sz w:val="16"/>
          <w:szCs w:val="16"/>
        </w:rPr>
        <w:t>množství</w:t>
      </w:r>
      <w:r w:rsidR="004F7A19" w:rsidRPr="00176E66">
        <w:rPr>
          <w:rFonts w:ascii="Tahoma" w:hAnsi="Tahoma" w:cs="Tahoma"/>
          <w:sz w:val="16"/>
          <w:szCs w:val="16"/>
        </w:rPr>
        <w:t xml:space="preserve"> dle objednávky</w:t>
      </w:r>
      <w:r w:rsidRPr="00176E66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176E66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176E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176E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176E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F4D9D35" w:rsidR="00E8465A" w:rsidRPr="00176E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176E66">
        <w:rPr>
          <w:rFonts w:ascii="Tahoma" w:hAnsi="Tahoma" w:cs="Tahoma"/>
          <w:sz w:val="16"/>
          <w:szCs w:val="16"/>
        </w:rPr>
        <w:t>veškeré části</w:t>
      </w:r>
      <w:r w:rsidRPr="00176E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176E66">
        <w:rPr>
          <w:rFonts w:ascii="Tahoma" w:hAnsi="Tahoma" w:cs="Tahoma"/>
          <w:sz w:val="16"/>
          <w:szCs w:val="16"/>
        </w:rPr>
        <w:t>smluvené</w:t>
      </w:r>
      <w:r w:rsidR="00AC5DD8" w:rsidRPr="00176E66">
        <w:rPr>
          <w:rFonts w:ascii="Tahoma" w:hAnsi="Tahoma" w:cs="Tahoma"/>
          <w:sz w:val="16"/>
          <w:szCs w:val="16"/>
        </w:rPr>
        <w:t>,</w:t>
      </w:r>
      <w:r w:rsidR="00A42B4E" w:rsidRPr="00176E66">
        <w:rPr>
          <w:rFonts w:ascii="Tahoma" w:hAnsi="Tahoma" w:cs="Tahoma"/>
          <w:sz w:val="16"/>
          <w:szCs w:val="16"/>
        </w:rPr>
        <w:t xml:space="preserve"> resp. </w:t>
      </w:r>
      <w:r w:rsidRPr="00176E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176E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176E66">
        <w:rPr>
          <w:rFonts w:ascii="Tahoma" w:hAnsi="Tahoma" w:cs="Tahoma"/>
          <w:sz w:val="16"/>
          <w:szCs w:val="16"/>
        </w:rPr>
        <w:t>končí dnem uplynutí ex</w:t>
      </w:r>
      <w:r w:rsidR="0047606D" w:rsidRPr="00176E66">
        <w:rPr>
          <w:rFonts w:ascii="Tahoma" w:hAnsi="Tahoma" w:cs="Tahoma"/>
          <w:sz w:val="16"/>
          <w:szCs w:val="16"/>
        </w:rPr>
        <w:t>s</w:t>
      </w:r>
      <w:r w:rsidR="00BB1D64" w:rsidRPr="00176E66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176E66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176E66">
        <w:rPr>
          <w:rFonts w:ascii="Tahoma" w:hAnsi="Tahoma" w:cs="Tahoma"/>
          <w:sz w:val="16"/>
          <w:szCs w:val="16"/>
        </w:rPr>
        <w:t>více než 1</w:t>
      </w:r>
      <w:r w:rsidR="00BB1D64" w:rsidRPr="00176E66">
        <w:rPr>
          <w:rFonts w:ascii="Tahoma" w:hAnsi="Tahoma" w:cs="Tahoma"/>
          <w:sz w:val="16"/>
          <w:szCs w:val="16"/>
        </w:rPr>
        <w:t>/3 ex</w:t>
      </w:r>
      <w:r w:rsidR="0047606D" w:rsidRPr="00176E66">
        <w:rPr>
          <w:rFonts w:ascii="Tahoma" w:hAnsi="Tahoma" w:cs="Tahoma"/>
          <w:sz w:val="16"/>
          <w:szCs w:val="16"/>
        </w:rPr>
        <w:t>s</w:t>
      </w:r>
      <w:r w:rsidR="00BB1D64" w:rsidRPr="00176E6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4884C915" w:rsidR="00115661" w:rsidRPr="00176E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176E66">
        <w:rPr>
          <w:rFonts w:ascii="Tahoma" w:hAnsi="Tahoma" w:cs="Tahoma"/>
          <w:sz w:val="16"/>
          <w:szCs w:val="16"/>
        </w:rPr>
        <w:t>s</w:t>
      </w:r>
      <w:r w:rsidRPr="00176E6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68E1" w:rsidRPr="00176E66">
        <w:rPr>
          <w:rFonts w:ascii="Tahoma" w:hAnsi="Tahoma" w:cs="Tahoma"/>
          <w:sz w:val="16"/>
          <w:szCs w:val="16"/>
        </w:rPr>
        <w:t xml:space="preserve">6 </w:t>
      </w:r>
      <w:r w:rsidRPr="00176E66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176E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176E66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176E66">
        <w:rPr>
          <w:rFonts w:ascii="Tahoma" w:hAnsi="Tahoma" w:cs="Tahoma"/>
          <w:sz w:val="16"/>
          <w:szCs w:val="16"/>
        </w:rPr>
        <w:t>I</w:t>
      </w:r>
      <w:r w:rsidR="001C5F99" w:rsidRPr="00176E66">
        <w:rPr>
          <w:rFonts w:ascii="Tahoma" w:hAnsi="Tahoma" w:cs="Tahoma"/>
          <w:sz w:val="16"/>
          <w:szCs w:val="16"/>
        </w:rPr>
        <w:t>. této smlouvy</w:t>
      </w:r>
      <w:r w:rsidRPr="00176E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176E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176E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176E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176E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lastRenderedPageBreak/>
        <w:t>nárokovat slevu z kupní ceny,</w:t>
      </w:r>
    </w:p>
    <w:p w14:paraId="4D274D84" w14:textId="77777777" w:rsidR="00A42B4E" w:rsidRPr="00176E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BA84C80" w14:textId="77777777" w:rsidR="00A42B4E" w:rsidRPr="00176E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V případě </w:t>
      </w:r>
      <w:r w:rsidR="001A5A6E" w:rsidRPr="00176E66">
        <w:rPr>
          <w:rFonts w:ascii="Tahoma" w:hAnsi="Tahoma" w:cs="Tahoma"/>
          <w:sz w:val="16"/>
          <w:szCs w:val="16"/>
        </w:rPr>
        <w:t xml:space="preserve">uplatnění </w:t>
      </w:r>
      <w:r w:rsidR="00DC5A70" w:rsidRPr="00176E66">
        <w:rPr>
          <w:rFonts w:ascii="Tahoma" w:hAnsi="Tahoma" w:cs="Tahoma"/>
          <w:sz w:val="16"/>
          <w:szCs w:val="16"/>
        </w:rPr>
        <w:t xml:space="preserve">nároku z </w:t>
      </w:r>
      <w:r w:rsidR="001A5A6E" w:rsidRPr="00176E66">
        <w:rPr>
          <w:rFonts w:ascii="Tahoma" w:hAnsi="Tahoma" w:cs="Tahoma"/>
          <w:sz w:val="16"/>
          <w:szCs w:val="16"/>
        </w:rPr>
        <w:t xml:space="preserve">vad </w:t>
      </w:r>
      <w:r w:rsidR="00DC5A70" w:rsidRPr="00176E66">
        <w:rPr>
          <w:rFonts w:ascii="Tahoma" w:hAnsi="Tahoma" w:cs="Tahoma"/>
          <w:sz w:val="16"/>
          <w:szCs w:val="16"/>
        </w:rPr>
        <w:t xml:space="preserve">dodaného </w:t>
      </w:r>
      <w:r w:rsidR="001A5A6E" w:rsidRPr="00176E66">
        <w:rPr>
          <w:rFonts w:ascii="Tahoma" w:hAnsi="Tahoma" w:cs="Tahoma"/>
          <w:sz w:val="16"/>
          <w:szCs w:val="16"/>
        </w:rPr>
        <w:t xml:space="preserve">zboží </w:t>
      </w:r>
      <w:r w:rsidR="009275D3" w:rsidRPr="00176E66">
        <w:rPr>
          <w:rFonts w:ascii="Tahoma" w:hAnsi="Tahoma" w:cs="Tahoma"/>
          <w:sz w:val="16"/>
          <w:szCs w:val="16"/>
        </w:rPr>
        <w:t>kupující</w:t>
      </w:r>
      <w:r w:rsidR="00DC5A70" w:rsidRPr="00176E66">
        <w:rPr>
          <w:rFonts w:ascii="Tahoma" w:hAnsi="Tahoma" w:cs="Tahoma"/>
          <w:sz w:val="16"/>
          <w:szCs w:val="16"/>
        </w:rPr>
        <w:t xml:space="preserve">m </w:t>
      </w:r>
      <w:r w:rsidRPr="00176E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</w:t>
      </w:r>
      <w:r w:rsidR="001A5A6E" w:rsidRPr="00176E66">
        <w:rPr>
          <w:rFonts w:ascii="Tahoma" w:hAnsi="Tahoma" w:cs="Tahoma"/>
          <w:sz w:val="16"/>
          <w:szCs w:val="16"/>
        </w:rPr>
        <w:t xml:space="preserve">se </w:t>
      </w:r>
      <w:r w:rsidR="00DC5A70" w:rsidRPr="00176E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176E66">
        <w:rPr>
          <w:rFonts w:ascii="Tahoma" w:hAnsi="Tahoma" w:cs="Tahoma"/>
          <w:sz w:val="16"/>
          <w:szCs w:val="16"/>
        </w:rPr>
        <w:t xml:space="preserve">zavazuje </w:t>
      </w:r>
      <w:r w:rsidR="00DC5A70" w:rsidRPr="00176E66">
        <w:rPr>
          <w:rFonts w:ascii="Tahoma" w:hAnsi="Tahoma" w:cs="Tahoma"/>
          <w:sz w:val="16"/>
          <w:szCs w:val="16"/>
        </w:rPr>
        <w:t xml:space="preserve">na žádost kupujícího </w:t>
      </w:r>
      <w:r w:rsidRPr="00176E66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176E66">
        <w:rPr>
          <w:rFonts w:ascii="Tahoma" w:hAnsi="Tahoma" w:cs="Tahoma"/>
          <w:sz w:val="16"/>
          <w:szCs w:val="16"/>
        </w:rPr>
        <w:t>zboží vyměnit</w:t>
      </w:r>
      <w:r w:rsidRPr="00176E66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176E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176E66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176E66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176E66">
        <w:rPr>
          <w:rFonts w:ascii="Tahoma" w:hAnsi="Tahoma" w:cs="Tahoma"/>
          <w:sz w:val="16"/>
          <w:szCs w:val="16"/>
        </w:rPr>
        <w:t>0,01%</w:t>
      </w:r>
      <w:proofErr w:type="gramEnd"/>
      <w:r w:rsidRPr="00176E66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176E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76E66">
        <w:rPr>
          <w:rFonts w:ascii="Tahoma" w:hAnsi="Tahoma" w:cs="Tahoma"/>
          <w:sz w:val="16"/>
          <w:szCs w:val="16"/>
        </w:rPr>
        <w:t>prodávající</w:t>
      </w:r>
      <w:r w:rsidR="00EE053A" w:rsidRPr="00176E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FDECF33" w14:textId="34D4A8FE" w:rsidR="00D30BA2" w:rsidRPr="00176E66" w:rsidRDefault="00426E04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je kupující oprávněn požadovat zaplacení jednorázové smluvní pokuty ve výši </w:t>
      </w:r>
      <w:proofErr w:type="gramStart"/>
      <w:r w:rsidRPr="00176E66">
        <w:rPr>
          <w:rFonts w:ascii="Tahoma" w:hAnsi="Tahoma" w:cs="Tahoma"/>
          <w:sz w:val="16"/>
          <w:szCs w:val="16"/>
        </w:rPr>
        <w:t>3%</w:t>
      </w:r>
      <w:proofErr w:type="gramEnd"/>
      <w:r w:rsidRPr="00176E66">
        <w:rPr>
          <w:rFonts w:ascii="Tahoma" w:hAnsi="Tahoma" w:cs="Tahoma"/>
          <w:sz w:val="16"/>
          <w:szCs w:val="16"/>
        </w:rPr>
        <w:t xml:space="preserve"> z kupní ceny objednávky bez DPH.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</w:t>
      </w:r>
      <w:r w:rsidR="00D30BA2" w:rsidRPr="00176E66">
        <w:rPr>
          <w:rFonts w:ascii="Tahoma" w:hAnsi="Tahoma" w:cs="Tahoma"/>
          <w:sz w:val="16"/>
          <w:szCs w:val="16"/>
        </w:rPr>
        <w:t>.</w:t>
      </w:r>
    </w:p>
    <w:p w14:paraId="45B0BE5D" w14:textId="3472B6E2" w:rsidR="00196900" w:rsidRPr="00176E66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176E66">
        <w:rPr>
          <w:rFonts w:ascii="Tahoma" w:hAnsi="Tahoma" w:cs="Tahoma"/>
          <w:sz w:val="16"/>
          <w:szCs w:val="16"/>
        </w:rPr>
        <w:t>sjednat a udržovat pojiš</w:t>
      </w:r>
      <w:r w:rsidRPr="00176E66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proofErr w:type="gramStart"/>
      <w:r w:rsidRPr="00176E66">
        <w:rPr>
          <w:rFonts w:ascii="Tahoma" w:hAnsi="Tahoma" w:cs="Tahoma"/>
          <w:sz w:val="16"/>
          <w:szCs w:val="16"/>
        </w:rPr>
        <w:t>10.000,-</w:t>
      </w:r>
      <w:proofErr w:type="gramEnd"/>
      <w:r w:rsidRPr="00176E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15407B72" w:rsidR="00612E6B" w:rsidRPr="00176E66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051C18" w:rsidRPr="00176E66">
        <w:rPr>
          <w:rFonts w:ascii="Tahoma" w:hAnsi="Tahoma" w:cs="Tahoma"/>
          <w:sz w:val="16"/>
          <w:szCs w:val="16"/>
        </w:rPr>
        <w:t>X.</w:t>
      </w:r>
      <w:r w:rsidRPr="00176E66">
        <w:rPr>
          <w:rFonts w:ascii="Tahoma" w:hAnsi="Tahoma" w:cs="Tahoma"/>
          <w:sz w:val="16"/>
          <w:szCs w:val="16"/>
        </w:rPr>
        <w:t xml:space="preserve"> odst. 2 smlouvy má kupující právo účtovat smluvní pokutu ve výši </w:t>
      </w:r>
      <w:r w:rsidR="0085236F" w:rsidRPr="00176E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176E66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176E66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176E66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176E66">
        <w:rPr>
          <w:rFonts w:ascii="Tahoma" w:hAnsi="Tahoma" w:cs="Tahoma"/>
          <w:sz w:val="16"/>
          <w:szCs w:val="16"/>
        </w:rPr>
        <w:t xml:space="preserve"> v plné výši</w:t>
      </w:r>
      <w:r w:rsidRPr="00176E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176E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176E66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608668CA" w:rsidR="0047606D" w:rsidRPr="00176E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</w:t>
      </w:r>
      <w:r w:rsidR="00A2343F" w:rsidRPr="00176E66">
        <w:rPr>
          <w:rFonts w:ascii="Tahoma" w:hAnsi="Tahoma" w:cs="Tahoma"/>
          <w:sz w:val="16"/>
          <w:szCs w:val="16"/>
        </w:rPr>
        <w:t xml:space="preserve"> </w:t>
      </w:r>
      <w:r w:rsidR="002408C9" w:rsidRPr="00176E66">
        <w:rPr>
          <w:rFonts w:ascii="Tahoma" w:hAnsi="Tahoma" w:cs="Tahoma"/>
          <w:sz w:val="16"/>
          <w:szCs w:val="16"/>
        </w:rPr>
        <w:t>kupní ceny</w:t>
      </w:r>
      <w:r w:rsidR="001D233D" w:rsidRPr="00176E66">
        <w:rPr>
          <w:rFonts w:ascii="Tahoma" w:hAnsi="Tahoma" w:cs="Tahoma"/>
          <w:sz w:val="16"/>
          <w:szCs w:val="16"/>
        </w:rPr>
        <w:t xml:space="preserve"> v Kč bez DPH</w:t>
      </w:r>
      <w:r w:rsidRPr="00176E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smluv.</w:t>
      </w:r>
    </w:p>
    <w:p w14:paraId="4D9877C2" w14:textId="77777777" w:rsidR="0047606D" w:rsidRPr="00176E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176E66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176E66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176E66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0037A939" w:rsidR="008954A7" w:rsidRPr="00176E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176E66">
        <w:rPr>
          <w:rFonts w:ascii="Tahoma" w:hAnsi="Tahoma" w:cs="Tahoma"/>
          <w:sz w:val="16"/>
          <w:szCs w:val="16"/>
        </w:rPr>
        <w:t>neurčitou</w:t>
      </w:r>
      <w:r w:rsidR="00FD1398" w:rsidRPr="00176E66">
        <w:rPr>
          <w:rFonts w:ascii="Tahoma" w:hAnsi="Tahoma" w:cs="Tahoma"/>
          <w:sz w:val="16"/>
          <w:szCs w:val="16"/>
        </w:rPr>
        <w:t>.</w:t>
      </w:r>
      <w:r w:rsidR="00F80405" w:rsidRPr="00176E66">
        <w:rPr>
          <w:rFonts w:ascii="Tahoma" w:hAnsi="Tahoma" w:cs="Tahoma"/>
          <w:sz w:val="16"/>
          <w:szCs w:val="16"/>
        </w:rPr>
        <w:t xml:space="preserve"> </w:t>
      </w:r>
      <w:r w:rsidR="00FD1398" w:rsidRPr="00176E66">
        <w:rPr>
          <w:rFonts w:ascii="Tahoma" w:hAnsi="Tahoma" w:cs="Tahoma"/>
          <w:sz w:val="16"/>
          <w:szCs w:val="16"/>
        </w:rPr>
        <w:t xml:space="preserve">Smlouva nabývá platnosti </w:t>
      </w:r>
      <w:r w:rsidR="00D30BA2" w:rsidRPr="00176E66">
        <w:rPr>
          <w:rFonts w:ascii="Tahoma" w:hAnsi="Tahoma" w:cs="Tahoma"/>
          <w:sz w:val="16"/>
          <w:szCs w:val="16"/>
        </w:rPr>
        <w:t xml:space="preserve">a účinnosti </w:t>
      </w:r>
      <w:r w:rsidR="00FD1398" w:rsidRPr="00176E66">
        <w:rPr>
          <w:rFonts w:ascii="Tahoma" w:hAnsi="Tahoma" w:cs="Tahoma"/>
          <w:sz w:val="16"/>
          <w:szCs w:val="16"/>
        </w:rPr>
        <w:t>dnem jejího podpisu smluvními stranami</w:t>
      </w:r>
      <w:r w:rsidR="00D30BA2" w:rsidRPr="00176E66">
        <w:rPr>
          <w:rFonts w:ascii="Tahoma" w:hAnsi="Tahoma" w:cs="Tahoma"/>
          <w:sz w:val="16"/>
          <w:szCs w:val="16"/>
        </w:rPr>
        <w:t>.</w:t>
      </w:r>
    </w:p>
    <w:p w14:paraId="722DDAA6" w14:textId="2B225575" w:rsidR="00E8465A" w:rsidRPr="00176E6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Smlouvu</w:t>
      </w:r>
      <w:r w:rsidR="00E8465A" w:rsidRPr="00176E66">
        <w:rPr>
          <w:rFonts w:ascii="Tahoma" w:hAnsi="Tahoma" w:cs="Tahoma"/>
          <w:sz w:val="16"/>
          <w:szCs w:val="16"/>
        </w:rPr>
        <w:t xml:space="preserve"> </w:t>
      </w:r>
      <w:r w:rsidRPr="00176E66">
        <w:rPr>
          <w:rFonts w:ascii="Tahoma" w:hAnsi="Tahoma" w:cs="Tahoma"/>
          <w:sz w:val="16"/>
          <w:szCs w:val="16"/>
        </w:rPr>
        <w:t xml:space="preserve">mohou </w:t>
      </w:r>
      <w:r w:rsidR="00E8465A" w:rsidRPr="00176E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76E66">
        <w:rPr>
          <w:rFonts w:ascii="Tahoma" w:hAnsi="Tahoma" w:cs="Tahoma"/>
          <w:sz w:val="16"/>
          <w:szCs w:val="16"/>
        </w:rPr>
        <w:t>činí</w:t>
      </w:r>
      <w:r w:rsidR="00852DFE" w:rsidRPr="00176E66">
        <w:rPr>
          <w:rFonts w:ascii="Tahoma" w:hAnsi="Tahoma" w:cs="Tahoma"/>
          <w:sz w:val="16"/>
          <w:szCs w:val="16"/>
        </w:rPr>
        <w:t xml:space="preserve"> </w:t>
      </w:r>
      <w:r w:rsidR="007768E1" w:rsidRPr="00176E66">
        <w:rPr>
          <w:rFonts w:ascii="Tahoma" w:hAnsi="Tahoma" w:cs="Tahoma"/>
          <w:sz w:val="16"/>
          <w:szCs w:val="16"/>
        </w:rPr>
        <w:t xml:space="preserve">1 </w:t>
      </w:r>
      <w:r w:rsidR="0075096A" w:rsidRPr="00176E66">
        <w:rPr>
          <w:rFonts w:ascii="Tahoma" w:hAnsi="Tahoma" w:cs="Tahoma"/>
          <w:sz w:val="16"/>
          <w:szCs w:val="16"/>
        </w:rPr>
        <w:t xml:space="preserve">měsíc </w:t>
      </w:r>
      <w:r w:rsidR="00FC3B10" w:rsidRPr="00176E66">
        <w:rPr>
          <w:rFonts w:ascii="Tahoma" w:hAnsi="Tahoma" w:cs="Tahoma"/>
          <w:sz w:val="16"/>
          <w:szCs w:val="16"/>
        </w:rPr>
        <w:t xml:space="preserve"> </w:t>
      </w:r>
      <w:r w:rsidR="00F51533" w:rsidRPr="00176E66">
        <w:rPr>
          <w:rFonts w:ascii="Tahoma" w:hAnsi="Tahoma" w:cs="Tahoma"/>
          <w:sz w:val="16"/>
          <w:szCs w:val="16"/>
        </w:rPr>
        <w:t xml:space="preserve"> a</w:t>
      </w:r>
      <w:r w:rsidR="00E8465A" w:rsidRPr="00176E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76E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76E66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4E6F1B3C" w:rsidR="007C5949" w:rsidRPr="00176E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76E66">
        <w:rPr>
          <w:rFonts w:ascii="Tahoma" w:hAnsi="Tahoma" w:cs="Tahoma"/>
          <w:sz w:val="16"/>
          <w:szCs w:val="16"/>
        </w:rPr>
        <w:t>na neměla zájem smlouvu uzavřít;</w:t>
      </w:r>
      <w:r w:rsidRPr="00176E66">
        <w:rPr>
          <w:rFonts w:ascii="Tahoma" w:hAnsi="Tahoma" w:cs="Tahoma"/>
          <w:sz w:val="16"/>
          <w:szCs w:val="16"/>
        </w:rPr>
        <w:t xml:space="preserve"> na st</w:t>
      </w:r>
      <w:r w:rsidR="007C5949" w:rsidRPr="00176E66">
        <w:rPr>
          <w:rFonts w:ascii="Tahoma" w:hAnsi="Tahoma" w:cs="Tahoma"/>
          <w:sz w:val="16"/>
          <w:szCs w:val="16"/>
        </w:rPr>
        <w:t>r</w:t>
      </w:r>
      <w:r w:rsidRPr="00176E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176E66">
        <w:rPr>
          <w:rFonts w:ascii="Tahoma" w:hAnsi="Tahoma" w:cs="Tahoma"/>
          <w:sz w:val="16"/>
          <w:szCs w:val="16"/>
        </w:rPr>
        <w:t>zejména</w:t>
      </w:r>
      <w:r w:rsidR="005C7939" w:rsidRPr="00176E66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176E66">
        <w:rPr>
          <w:rFonts w:ascii="Tahoma" w:hAnsi="Tahoma" w:cs="Tahoma"/>
          <w:sz w:val="16"/>
          <w:szCs w:val="16"/>
        </w:rPr>
        <w:t>.</w:t>
      </w:r>
      <w:r w:rsidR="007C5949" w:rsidRPr="00176E66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176E66">
        <w:rPr>
          <w:rFonts w:ascii="Tahoma" w:hAnsi="Tahoma" w:cs="Tahoma"/>
          <w:sz w:val="16"/>
          <w:szCs w:val="16"/>
        </w:rPr>
        <w:t xml:space="preserve"> </w:t>
      </w:r>
      <w:r w:rsidR="007C5949" w:rsidRPr="00176E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176E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76E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176E66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176E66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76E66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176E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58DC5F03" w:rsidR="00852DFE" w:rsidRPr="00176E66" w:rsidRDefault="00F739E9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  <w:r w:rsidR="00852DFE" w:rsidRPr="00176E66">
        <w:rPr>
          <w:rFonts w:ascii="Tahoma" w:hAnsi="Tahoma" w:cs="Tahoma"/>
          <w:bCs/>
          <w:iCs/>
          <w:sz w:val="16"/>
          <w:szCs w:val="16"/>
          <w:lang w:bidi="en-US"/>
        </w:rPr>
        <w:t xml:space="preserve">  </w:t>
      </w:r>
    </w:p>
    <w:p w14:paraId="3ABE134C" w14:textId="77777777" w:rsidR="00852DFE" w:rsidRPr="00176E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037EDC43" w:rsidR="00852DFE" w:rsidRPr="00176E66" w:rsidRDefault="00F739E9" w:rsidP="00210E05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66F99E15" w14:textId="769552C5" w:rsidR="00852DFE" w:rsidRPr="00176E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Pr="00176E66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176E66" w:rsidRDefault="00051C18" w:rsidP="00051C1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76E66">
        <w:rPr>
          <w:rFonts w:ascii="Tahoma" w:hAnsi="Tahoma" w:cs="Tahoma"/>
          <w:b/>
          <w:sz w:val="16"/>
          <w:szCs w:val="16"/>
        </w:rPr>
        <w:t>Ostatní ustanovení</w:t>
      </w:r>
    </w:p>
    <w:p w14:paraId="2EF3ED1A" w14:textId="77777777" w:rsidR="00051C18" w:rsidRPr="00176E66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EDBC314" w14:textId="77777777" w:rsidR="00051C18" w:rsidRPr="00176E66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26DB20FF" w:rsidR="00051C18" w:rsidRPr="00176E66" w:rsidRDefault="00051C18" w:rsidP="007768E1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3F8D9ABF" w14:textId="37B29488" w:rsidR="00D34889" w:rsidRDefault="00D34889" w:rsidP="007768E1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58F8E6E4" w14:textId="77777777" w:rsidR="00176E66" w:rsidRPr="00176E66" w:rsidRDefault="00176E66" w:rsidP="007768E1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DAF45FD" w14:textId="77777777" w:rsidR="00852DFE" w:rsidRPr="00176E66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76E66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176E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76E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176E66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</w:t>
      </w:r>
      <w:r w:rsidRPr="00176E66">
        <w:rPr>
          <w:rFonts w:ascii="Tahoma" w:hAnsi="Tahoma" w:cs="Tahoma"/>
          <w:sz w:val="16"/>
          <w:szCs w:val="16"/>
        </w:rPr>
        <w:lastRenderedPageBreak/>
        <w:t xml:space="preserve">písemným souhlasem kupujícího. </w:t>
      </w:r>
    </w:p>
    <w:p w14:paraId="1CBBB3AF" w14:textId="36E72D08" w:rsidR="00B85502" w:rsidRPr="00176E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176E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176E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176E66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176E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176E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76E66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176E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176E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176E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76E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bookmarkEnd w:id="2"/>
    <w:p w14:paraId="387412DC" w14:textId="77777777" w:rsidR="00885CE5" w:rsidRPr="00176E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176E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Pr="00176E66" w:rsidRDefault="00E8465A" w:rsidP="00051C18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Příloha</w:t>
      </w:r>
      <w:r w:rsidR="00B020D8" w:rsidRPr="00176E66">
        <w:rPr>
          <w:rFonts w:ascii="Tahoma" w:hAnsi="Tahoma" w:cs="Tahoma"/>
          <w:sz w:val="16"/>
          <w:szCs w:val="16"/>
        </w:rPr>
        <w:t xml:space="preserve"> č.</w:t>
      </w:r>
      <w:r w:rsidR="00D560EE" w:rsidRPr="00176E66">
        <w:rPr>
          <w:rFonts w:ascii="Tahoma" w:hAnsi="Tahoma" w:cs="Tahoma"/>
          <w:sz w:val="16"/>
          <w:szCs w:val="16"/>
        </w:rPr>
        <w:t xml:space="preserve"> </w:t>
      </w:r>
      <w:r w:rsidR="00B020D8" w:rsidRPr="00176E66">
        <w:rPr>
          <w:rFonts w:ascii="Tahoma" w:hAnsi="Tahoma" w:cs="Tahoma"/>
          <w:sz w:val="16"/>
          <w:szCs w:val="16"/>
        </w:rPr>
        <w:t>1</w:t>
      </w:r>
      <w:r w:rsidRPr="00176E66">
        <w:rPr>
          <w:rFonts w:ascii="Tahoma" w:hAnsi="Tahoma" w:cs="Tahoma"/>
          <w:sz w:val="16"/>
          <w:szCs w:val="16"/>
        </w:rPr>
        <w:t xml:space="preserve">: </w:t>
      </w:r>
    </w:p>
    <w:p w14:paraId="359BCADD" w14:textId="77777777" w:rsidR="00051C18" w:rsidRPr="00176E66" w:rsidRDefault="00051C18" w:rsidP="00051C18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Položkový ceník zboží dle nabídky k VZ </w:t>
      </w:r>
    </w:p>
    <w:p w14:paraId="47F90597" w14:textId="7663D71D" w:rsidR="00E8465A" w:rsidRPr="00176E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176E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176E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05E0725" w:rsidR="00FE6B8F" w:rsidRPr="00176E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V</w:t>
      </w:r>
      <w:r w:rsidR="00EF7C2D" w:rsidRPr="00176E66">
        <w:rPr>
          <w:rFonts w:ascii="Tahoma" w:hAnsi="Tahoma" w:cs="Tahoma"/>
          <w:sz w:val="16"/>
          <w:szCs w:val="16"/>
        </w:rPr>
        <w:t xml:space="preserve"> Praze </w:t>
      </w:r>
      <w:r w:rsidRPr="00176E66">
        <w:rPr>
          <w:rFonts w:ascii="Tahoma" w:hAnsi="Tahoma" w:cs="Tahoma"/>
          <w:sz w:val="16"/>
          <w:szCs w:val="16"/>
        </w:rPr>
        <w:t>dne</w:t>
      </w:r>
      <w:r w:rsidR="00885CE5" w:rsidRPr="00176E66">
        <w:rPr>
          <w:rFonts w:ascii="Tahoma" w:hAnsi="Tahoma" w:cs="Tahoma"/>
          <w:sz w:val="16"/>
          <w:szCs w:val="16"/>
        </w:rPr>
        <w:t>:</w:t>
      </w:r>
      <w:r w:rsidR="009A360A" w:rsidRPr="00176E66">
        <w:rPr>
          <w:rFonts w:ascii="Tahoma" w:hAnsi="Tahoma" w:cs="Tahoma"/>
          <w:sz w:val="16"/>
          <w:szCs w:val="16"/>
        </w:rPr>
        <w:tab/>
      </w:r>
      <w:r w:rsidR="009A360A" w:rsidRPr="00176E66">
        <w:rPr>
          <w:rFonts w:ascii="Tahoma" w:hAnsi="Tahoma" w:cs="Tahoma"/>
          <w:sz w:val="16"/>
          <w:szCs w:val="16"/>
        </w:rPr>
        <w:tab/>
      </w:r>
      <w:r w:rsidR="00F85923" w:rsidRPr="00176E66">
        <w:rPr>
          <w:rFonts w:ascii="Tahoma" w:hAnsi="Tahoma" w:cs="Tahoma"/>
          <w:sz w:val="16"/>
          <w:szCs w:val="16"/>
        </w:rPr>
        <w:tab/>
      </w:r>
      <w:r w:rsidR="00F85923" w:rsidRPr="00176E66">
        <w:rPr>
          <w:rFonts w:ascii="Tahoma" w:hAnsi="Tahoma" w:cs="Tahoma"/>
          <w:sz w:val="16"/>
          <w:szCs w:val="16"/>
        </w:rPr>
        <w:tab/>
      </w:r>
      <w:r w:rsidR="00B020D8" w:rsidRPr="00176E66">
        <w:rPr>
          <w:rFonts w:ascii="Tahoma" w:hAnsi="Tahoma" w:cs="Tahoma"/>
          <w:sz w:val="16"/>
          <w:szCs w:val="16"/>
        </w:rPr>
        <w:tab/>
      </w:r>
      <w:r w:rsidR="00A76D75" w:rsidRPr="00176E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176E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176E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4244E903" w:rsidR="00C41146" w:rsidRPr="00176E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8ABF85F" w14:textId="77777777" w:rsidR="00EF7C2D" w:rsidRPr="00176E66" w:rsidRDefault="00EF7C2D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176E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176E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176E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176E66">
        <w:rPr>
          <w:rFonts w:ascii="Tahoma" w:hAnsi="Tahoma" w:cs="Tahoma"/>
          <w:sz w:val="16"/>
          <w:szCs w:val="16"/>
        </w:rPr>
        <w:tab/>
      </w:r>
      <w:r w:rsidR="00536C2C" w:rsidRPr="00176E66">
        <w:rPr>
          <w:rFonts w:ascii="Tahoma" w:hAnsi="Tahoma" w:cs="Tahoma"/>
          <w:sz w:val="16"/>
          <w:szCs w:val="16"/>
        </w:rPr>
        <w:t>---------------</w:t>
      </w:r>
      <w:r w:rsidRPr="00176E66">
        <w:rPr>
          <w:rFonts w:ascii="Tahoma" w:hAnsi="Tahoma" w:cs="Tahoma"/>
          <w:sz w:val="16"/>
          <w:szCs w:val="16"/>
        </w:rPr>
        <w:t>------------</w:t>
      </w:r>
      <w:r w:rsidR="008C69B7" w:rsidRPr="00176E66">
        <w:rPr>
          <w:rFonts w:ascii="Tahoma" w:hAnsi="Tahoma" w:cs="Tahoma"/>
          <w:sz w:val="16"/>
          <w:szCs w:val="16"/>
        </w:rPr>
        <w:t>-------------------------------</w:t>
      </w:r>
    </w:p>
    <w:p w14:paraId="474A0CE4" w14:textId="057A9E2C" w:rsidR="008A6E75" w:rsidRPr="00176E66" w:rsidRDefault="00E852CC" w:rsidP="008A6E75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Mgr. Michal </w:t>
      </w:r>
      <w:proofErr w:type="spellStart"/>
      <w:r w:rsidRPr="00176E66">
        <w:rPr>
          <w:rFonts w:ascii="Tahoma" w:hAnsi="Tahoma" w:cs="Tahoma"/>
          <w:sz w:val="16"/>
          <w:szCs w:val="16"/>
        </w:rPr>
        <w:t>Vondraš</w:t>
      </w:r>
      <w:proofErr w:type="spellEnd"/>
      <w:r w:rsidR="00EF7C2D" w:rsidRPr="00176E66">
        <w:rPr>
          <w:rFonts w:ascii="Tahoma" w:hAnsi="Tahoma" w:cs="Tahoma"/>
          <w:sz w:val="16"/>
          <w:szCs w:val="16"/>
        </w:rPr>
        <w:t>,</w:t>
      </w:r>
      <w:r w:rsidRPr="00176E66">
        <w:rPr>
          <w:rFonts w:ascii="Tahoma" w:hAnsi="Tahoma" w:cs="Tahoma"/>
          <w:sz w:val="16"/>
          <w:szCs w:val="16"/>
        </w:rPr>
        <w:t xml:space="preserve"> MBA</w:t>
      </w:r>
      <w:r w:rsidR="00EF7C2D" w:rsidRPr="00176E66">
        <w:rPr>
          <w:rFonts w:ascii="Tahoma" w:hAnsi="Tahoma" w:cs="Tahoma"/>
          <w:sz w:val="16"/>
          <w:szCs w:val="16"/>
        </w:rPr>
        <w:tab/>
      </w:r>
      <w:r w:rsidR="00FD635C" w:rsidRPr="00176E66">
        <w:rPr>
          <w:rFonts w:ascii="Tahoma" w:hAnsi="Tahoma" w:cs="Tahoma"/>
          <w:sz w:val="16"/>
          <w:szCs w:val="16"/>
        </w:rPr>
        <w:tab/>
      </w:r>
      <w:r w:rsidR="00FD635C" w:rsidRPr="00176E66">
        <w:rPr>
          <w:rFonts w:ascii="Tahoma" w:hAnsi="Tahoma" w:cs="Tahoma"/>
          <w:sz w:val="16"/>
          <w:szCs w:val="16"/>
        </w:rPr>
        <w:tab/>
      </w:r>
      <w:r w:rsidR="00A76D75" w:rsidRPr="00176E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176E66">
        <w:rPr>
          <w:rFonts w:ascii="Tahoma" w:hAnsi="Tahoma" w:cs="Tahoma"/>
          <w:sz w:val="16"/>
          <w:szCs w:val="16"/>
        </w:rPr>
        <w:tab/>
      </w:r>
      <w:r w:rsidR="00463437" w:rsidRPr="00176E66">
        <w:rPr>
          <w:rFonts w:ascii="Tahoma" w:hAnsi="Tahoma" w:cs="Tahoma"/>
          <w:sz w:val="16"/>
          <w:szCs w:val="16"/>
        </w:rPr>
        <w:t>p</w:t>
      </w:r>
      <w:r w:rsidR="008A6E75" w:rsidRPr="00176E66">
        <w:rPr>
          <w:rFonts w:ascii="Tahoma" w:hAnsi="Tahoma" w:cs="Tahoma"/>
          <w:sz w:val="16"/>
          <w:szCs w:val="16"/>
        </w:rPr>
        <w:t>rof. MUDr. David Feltl, Ph.D., MBA</w:t>
      </w:r>
    </w:p>
    <w:p w14:paraId="06AC60E2" w14:textId="46665FDC" w:rsidR="00FD635C" w:rsidRPr="00176E66" w:rsidRDefault="00EF7C2D" w:rsidP="00FD635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>Jednatel</w:t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</w:r>
      <w:r w:rsidRPr="00176E66">
        <w:rPr>
          <w:rFonts w:ascii="Tahoma" w:hAnsi="Tahoma" w:cs="Tahoma"/>
          <w:sz w:val="16"/>
          <w:szCs w:val="16"/>
        </w:rPr>
        <w:tab/>
        <w:t>ředitel</w:t>
      </w:r>
    </w:p>
    <w:p w14:paraId="1E0D7C38" w14:textId="33919263" w:rsidR="00FD635C" w:rsidRPr="00176E66" w:rsidRDefault="00095BCA" w:rsidP="00FD635C">
      <w:pPr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ab/>
      </w:r>
      <w:r w:rsidR="00FD635C" w:rsidRPr="00176E66">
        <w:rPr>
          <w:rFonts w:ascii="Tahoma" w:hAnsi="Tahoma" w:cs="Tahoma"/>
          <w:sz w:val="16"/>
          <w:szCs w:val="16"/>
        </w:rPr>
        <w:t xml:space="preserve"> </w:t>
      </w:r>
      <w:r w:rsidR="00536C2C" w:rsidRPr="00176E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176E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176E66">
        <w:rPr>
          <w:rFonts w:ascii="Tahoma" w:hAnsi="Tahoma" w:cs="Tahoma"/>
          <w:sz w:val="16"/>
          <w:szCs w:val="16"/>
        </w:rPr>
        <w:t xml:space="preserve"> </w:t>
      </w:r>
      <w:r w:rsidR="0032498F" w:rsidRPr="00176E66">
        <w:rPr>
          <w:rFonts w:ascii="Tahoma" w:hAnsi="Tahoma" w:cs="Tahoma"/>
          <w:sz w:val="16"/>
          <w:szCs w:val="16"/>
        </w:rPr>
        <w:tab/>
      </w:r>
    </w:p>
    <w:p w14:paraId="06633A14" w14:textId="6CBFBAB8" w:rsidR="00FD635C" w:rsidRPr="00176E66" w:rsidRDefault="00E852CC" w:rsidP="00FD635C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ab/>
      </w:r>
    </w:p>
    <w:p w14:paraId="27B7BA8E" w14:textId="77777777" w:rsidR="00FD635C" w:rsidRPr="00176E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13F5AC6" w:rsidR="00FD635C" w:rsidRPr="00176E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31B54AB" w14:textId="66DD6458" w:rsidR="00C9523C" w:rsidRPr="00176E66" w:rsidRDefault="0075412D" w:rsidP="00C9523C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br w:type="column"/>
      </w:r>
      <w:r w:rsidR="00C9523C" w:rsidRPr="00176E66">
        <w:rPr>
          <w:rFonts w:ascii="Tahoma" w:hAnsi="Tahoma" w:cs="Tahoma"/>
          <w:sz w:val="16"/>
          <w:szCs w:val="16"/>
        </w:rPr>
        <w:lastRenderedPageBreak/>
        <w:t xml:space="preserve">Příloha č. 1: </w:t>
      </w:r>
    </w:p>
    <w:p w14:paraId="7A8C0E37" w14:textId="77777777" w:rsidR="00C9523C" w:rsidRPr="00176E66" w:rsidRDefault="00C9523C" w:rsidP="00C9523C">
      <w:pPr>
        <w:jc w:val="both"/>
        <w:rPr>
          <w:rFonts w:ascii="Tahoma" w:hAnsi="Tahoma" w:cs="Tahoma"/>
          <w:sz w:val="16"/>
          <w:szCs w:val="16"/>
        </w:rPr>
      </w:pPr>
      <w:r w:rsidRPr="00176E66">
        <w:rPr>
          <w:rFonts w:ascii="Tahoma" w:hAnsi="Tahoma" w:cs="Tahoma"/>
          <w:sz w:val="16"/>
          <w:szCs w:val="16"/>
        </w:rPr>
        <w:t xml:space="preserve">Položkový ceník zboží dle nabídky k VZ </w:t>
      </w:r>
    </w:p>
    <w:p w14:paraId="268A47E1" w14:textId="21F45696" w:rsidR="00C9523C" w:rsidRPr="00176E66" w:rsidRDefault="00C9523C" w:rsidP="00FD635C">
      <w:pPr>
        <w:jc w:val="both"/>
        <w:rPr>
          <w:rFonts w:ascii="Tahoma" w:hAnsi="Tahoma" w:cs="Tahoma"/>
          <w:sz w:val="16"/>
          <w:szCs w:val="16"/>
        </w:rPr>
      </w:pPr>
    </w:p>
    <w:p w14:paraId="35AA75C9" w14:textId="677569D2" w:rsidR="00C9523C" w:rsidRPr="00176E66" w:rsidRDefault="00C9523C" w:rsidP="00FD635C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  <w:gridCol w:w="1360"/>
        <w:gridCol w:w="1420"/>
      </w:tblGrid>
      <w:tr w:rsidR="00C9523C" w:rsidRPr="00176E66" w14:paraId="150D8759" w14:textId="77777777" w:rsidTr="00C9523C">
        <w:trPr>
          <w:trHeight w:val="525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7ABE84B9" w14:textId="77777777" w:rsidR="00C9523C" w:rsidRPr="00176E66" w:rsidRDefault="00C95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6E66">
              <w:rPr>
                <w:rFonts w:ascii="Tahoma" w:hAnsi="Tahoma" w:cs="Tahoma"/>
                <w:b/>
                <w:bCs/>
                <w:sz w:val="16"/>
                <w:szCs w:val="16"/>
              </w:rPr>
              <w:t>Spotřební materiál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9F6B02E" w14:textId="77777777" w:rsidR="00C9523C" w:rsidRPr="00176E66" w:rsidRDefault="00C95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6E66"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7D1C209" w14:textId="77777777" w:rsidR="00C9523C" w:rsidRPr="00176E66" w:rsidRDefault="00C95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6E66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</w:tr>
      <w:tr w:rsidR="00C9523C" w:rsidRPr="00176E66" w14:paraId="15FCE496" w14:textId="77777777" w:rsidTr="00C9523C">
        <w:trPr>
          <w:trHeight w:val="255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430E1E06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Jednorázová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neutrální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elektroda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bez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kabelu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pro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dospělé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pacienty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FA2AAF8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73.00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8596F3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54D82921" w14:textId="77777777" w:rsidTr="00C9523C">
        <w:trPr>
          <w:trHeight w:val="255"/>
        </w:trPr>
        <w:tc>
          <w:tcPr>
            <w:tcW w:w="7360" w:type="dxa"/>
            <w:shd w:val="clear" w:color="auto" w:fill="auto"/>
            <w:noWrap/>
            <w:vAlign w:val="center"/>
            <w:hideMark/>
          </w:tcPr>
          <w:p w14:paraId="21DA0F28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Jednorázová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aktivní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elektroda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nožová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prodloužená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10 cm,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potahovaná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5844201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192.00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E4FD59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3634C137" w14:textId="77777777" w:rsidTr="00C9523C">
        <w:trPr>
          <w:trHeight w:val="510"/>
        </w:trPr>
        <w:tc>
          <w:tcPr>
            <w:tcW w:w="7360" w:type="dxa"/>
            <w:shd w:val="clear" w:color="auto" w:fill="auto"/>
            <w:vAlign w:val="center"/>
            <w:hideMark/>
          </w:tcPr>
          <w:p w14:paraId="03AEC31D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Jednorázová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tužková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rukojeť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aktivních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elektrod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tlačítkový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spínač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změna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výkonu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operačního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pole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27FE721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1431.00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D2D4A6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78C6EC08" w14:textId="77777777" w:rsidTr="00C9523C">
        <w:trPr>
          <w:trHeight w:val="255"/>
        </w:trPr>
        <w:tc>
          <w:tcPr>
            <w:tcW w:w="7360" w:type="dxa"/>
            <w:shd w:val="clear" w:color="auto" w:fill="auto"/>
            <w:vAlign w:val="center"/>
            <w:hideMark/>
          </w:tcPr>
          <w:p w14:paraId="20E53DD0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Jednorázový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nástroj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délky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21 cm k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zatavení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protnutí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cév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5811E72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11472.00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79B2A4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70A9E04C" w14:textId="77777777" w:rsidTr="00C9523C">
        <w:trPr>
          <w:trHeight w:val="290"/>
        </w:trPr>
        <w:tc>
          <w:tcPr>
            <w:tcW w:w="7360" w:type="dxa"/>
            <w:vMerge w:val="restart"/>
            <w:shd w:val="clear" w:color="auto" w:fill="auto"/>
            <w:vAlign w:val="center"/>
            <w:hideMark/>
          </w:tcPr>
          <w:p w14:paraId="0259E06D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Jednorázový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nástroj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otevřenou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operativu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zahnuté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branže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umožňující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současně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řez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bipolární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koagulaci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tkání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cév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průměru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7 mm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včetně</w:t>
            </w:r>
            <w:proofErr w:type="spellEnd"/>
          </w:p>
        </w:tc>
        <w:tc>
          <w:tcPr>
            <w:tcW w:w="1360" w:type="dxa"/>
            <w:vMerge w:val="restart"/>
            <w:shd w:val="clear" w:color="auto" w:fill="auto"/>
            <w:noWrap/>
            <w:vAlign w:val="center"/>
            <w:hideMark/>
          </w:tcPr>
          <w:p w14:paraId="4D037044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13392.00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bottom"/>
            <w:hideMark/>
          </w:tcPr>
          <w:p w14:paraId="17F6C32A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3A577A1A" w14:textId="77777777" w:rsidTr="00C9523C">
        <w:trPr>
          <w:trHeight w:val="290"/>
        </w:trPr>
        <w:tc>
          <w:tcPr>
            <w:tcW w:w="7360" w:type="dxa"/>
            <w:vMerge/>
            <w:vAlign w:val="center"/>
            <w:hideMark/>
          </w:tcPr>
          <w:p w14:paraId="400EACBC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E057C25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037854BD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523C" w:rsidRPr="00176E66" w14:paraId="0DCC214F" w14:textId="77777777" w:rsidTr="00C9523C">
        <w:trPr>
          <w:trHeight w:val="290"/>
        </w:trPr>
        <w:tc>
          <w:tcPr>
            <w:tcW w:w="7360" w:type="dxa"/>
            <w:vMerge w:val="restart"/>
            <w:shd w:val="clear" w:color="auto" w:fill="auto"/>
            <w:vAlign w:val="center"/>
            <w:hideMark/>
          </w:tcPr>
          <w:p w14:paraId="48F40E10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Jednorázový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nástroj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otevřenou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operativu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dlouhé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branže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umožňující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současně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řez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bipolární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koagulaci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tkání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cév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průměru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7 mm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včetně</w:t>
            </w:r>
            <w:proofErr w:type="spellEnd"/>
          </w:p>
        </w:tc>
        <w:tc>
          <w:tcPr>
            <w:tcW w:w="1360" w:type="dxa"/>
            <w:vMerge w:val="restart"/>
            <w:shd w:val="clear" w:color="auto" w:fill="auto"/>
            <w:noWrap/>
            <w:vAlign w:val="center"/>
            <w:hideMark/>
          </w:tcPr>
          <w:p w14:paraId="55CC54C0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14880.00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bottom"/>
            <w:hideMark/>
          </w:tcPr>
          <w:p w14:paraId="1ADC3AE5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612BF392" w14:textId="77777777" w:rsidTr="00C9523C">
        <w:trPr>
          <w:trHeight w:val="290"/>
        </w:trPr>
        <w:tc>
          <w:tcPr>
            <w:tcW w:w="7360" w:type="dxa"/>
            <w:vMerge/>
            <w:vAlign w:val="center"/>
            <w:hideMark/>
          </w:tcPr>
          <w:p w14:paraId="6B269D6D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372549C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1424C1D0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523C" w:rsidRPr="00176E66" w14:paraId="30E6082B" w14:textId="77777777" w:rsidTr="00C9523C">
        <w:trPr>
          <w:trHeight w:val="510"/>
        </w:trPr>
        <w:tc>
          <w:tcPr>
            <w:tcW w:w="7360" w:type="dxa"/>
            <w:vMerge w:val="restart"/>
            <w:shd w:val="clear" w:color="auto" w:fill="auto"/>
            <w:vAlign w:val="center"/>
            <w:hideMark/>
          </w:tcPr>
          <w:p w14:paraId="6E2C0BEA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Jednorázový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nástroj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laparoskopickou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operativu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zahnuté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branže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umožňující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současně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řez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bipolární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koagulaci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tkání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cév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průměru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7 mm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včetně</w:t>
            </w:r>
            <w:proofErr w:type="spellEnd"/>
          </w:p>
        </w:tc>
        <w:tc>
          <w:tcPr>
            <w:tcW w:w="1360" w:type="dxa"/>
            <w:vMerge w:val="restart"/>
            <w:shd w:val="clear" w:color="auto" w:fill="auto"/>
            <w:noWrap/>
            <w:vAlign w:val="center"/>
            <w:hideMark/>
          </w:tcPr>
          <w:p w14:paraId="2AD21515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14352.00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bottom"/>
            <w:hideMark/>
          </w:tcPr>
          <w:p w14:paraId="587F90E2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3BD547A2" w14:textId="77777777" w:rsidTr="00C9523C">
        <w:trPr>
          <w:trHeight w:val="290"/>
        </w:trPr>
        <w:tc>
          <w:tcPr>
            <w:tcW w:w="7360" w:type="dxa"/>
            <w:vMerge/>
            <w:vAlign w:val="center"/>
            <w:hideMark/>
          </w:tcPr>
          <w:p w14:paraId="03D419D7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AEFF3C4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62679BEA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523C" w:rsidRPr="00176E66" w14:paraId="06E9B225" w14:textId="77777777" w:rsidTr="00C9523C">
        <w:trPr>
          <w:trHeight w:val="510"/>
        </w:trPr>
        <w:tc>
          <w:tcPr>
            <w:tcW w:w="7360" w:type="dxa"/>
            <w:vMerge w:val="restart"/>
            <w:shd w:val="clear" w:color="auto" w:fill="auto"/>
            <w:vAlign w:val="center"/>
            <w:hideMark/>
          </w:tcPr>
          <w:p w14:paraId="0029F3B6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Jednorázový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nástroj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laparoskopickou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operativu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s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monopolárním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háčkem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umožňující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současně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řez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bipolární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koagulaci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tkání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cév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průměru</w:t>
            </w:r>
            <w:proofErr w:type="spellEnd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 xml:space="preserve"> 7 mm </w:t>
            </w:r>
            <w:proofErr w:type="spellStart"/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včetně</w:t>
            </w:r>
            <w:proofErr w:type="spellEnd"/>
          </w:p>
        </w:tc>
        <w:tc>
          <w:tcPr>
            <w:tcW w:w="1360" w:type="dxa"/>
            <w:vMerge w:val="restart"/>
            <w:shd w:val="clear" w:color="auto" w:fill="auto"/>
            <w:noWrap/>
            <w:vAlign w:val="center"/>
            <w:hideMark/>
          </w:tcPr>
          <w:p w14:paraId="64774922" w14:textId="77777777" w:rsidR="00C9523C" w:rsidRPr="00176E66" w:rsidRDefault="00C95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E66">
              <w:rPr>
                <w:rFonts w:ascii="Tahoma" w:hAnsi="Tahoma" w:cs="Tahoma"/>
                <w:sz w:val="16"/>
                <w:szCs w:val="16"/>
                <w:lang w:val="en-US"/>
              </w:rPr>
              <w:t>16272.00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bottom"/>
            <w:hideMark/>
          </w:tcPr>
          <w:p w14:paraId="4F3D8A26" w14:textId="77777777" w:rsidR="00C9523C" w:rsidRPr="00176E66" w:rsidRDefault="00C95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76E66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C9523C" w:rsidRPr="00176E66" w14:paraId="56CAEF8B" w14:textId="77777777" w:rsidTr="00C9523C">
        <w:trPr>
          <w:trHeight w:val="290"/>
        </w:trPr>
        <w:tc>
          <w:tcPr>
            <w:tcW w:w="7360" w:type="dxa"/>
            <w:vMerge/>
            <w:vAlign w:val="center"/>
            <w:hideMark/>
          </w:tcPr>
          <w:p w14:paraId="4E63DCDA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81C85DD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294853FE" w14:textId="77777777" w:rsidR="00C9523C" w:rsidRPr="00176E66" w:rsidRDefault="00C9523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E699A46" w14:textId="77777777" w:rsidR="00C9523C" w:rsidRPr="00176E66" w:rsidRDefault="00C9523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176E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176E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7777777" w:rsidR="00935B4E" w:rsidRPr="00176E66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176E66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19310" w14:textId="77777777" w:rsidR="009B1A41" w:rsidRDefault="009B1A41">
      <w:r>
        <w:separator/>
      </w:r>
    </w:p>
  </w:endnote>
  <w:endnote w:type="continuationSeparator" w:id="0">
    <w:p w14:paraId="6E8C8D2D" w14:textId="77777777" w:rsidR="009B1A41" w:rsidRDefault="009B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2C65" w14:textId="77777777" w:rsidR="009B1A41" w:rsidRDefault="009B1A41">
      <w:r>
        <w:separator/>
      </w:r>
    </w:p>
  </w:footnote>
  <w:footnote w:type="continuationSeparator" w:id="0">
    <w:p w14:paraId="66128E7F" w14:textId="77777777" w:rsidR="009B1A41" w:rsidRDefault="009B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18F2CE6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F7C2D">
      <w:rPr>
        <w:rFonts w:ascii="Arial" w:hAnsi="Arial" w:cs="Arial"/>
        <w:b/>
        <w:sz w:val="18"/>
        <w:szCs w:val="18"/>
      </w:rPr>
      <w:t>1758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D12C00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3"/>
  </w:num>
  <w:num w:numId="7">
    <w:abstractNumId w:val="31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8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9"/>
  </w:num>
  <w:num w:numId="40">
    <w:abstractNumId w:val="0"/>
  </w:num>
  <w:num w:numId="41">
    <w:abstractNumId w:val="37"/>
  </w:num>
  <w:num w:numId="42">
    <w:abstractNumId w:val="17"/>
  </w:num>
  <w:num w:numId="43">
    <w:abstractNumId w:val="4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D77"/>
    <w:rsid w:val="0004228C"/>
    <w:rsid w:val="00045FFB"/>
    <w:rsid w:val="00050857"/>
    <w:rsid w:val="00051C18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7211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5D79"/>
    <w:rsid w:val="00117C16"/>
    <w:rsid w:val="001203C9"/>
    <w:rsid w:val="0013312F"/>
    <w:rsid w:val="00134A3E"/>
    <w:rsid w:val="00142EF2"/>
    <w:rsid w:val="00161E6C"/>
    <w:rsid w:val="00170978"/>
    <w:rsid w:val="00170BBD"/>
    <w:rsid w:val="00173BB0"/>
    <w:rsid w:val="00176354"/>
    <w:rsid w:val="00176E66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21EF"/>
    <w:rsid w:val="001B4035"/>
    <w:rsid w:val="001C37EC"/>
    <w:rsid w:val="001C5D2F"/>
    <w:rsid w:val="001C5F99"/>
    <w:rsid w:val="001D233D"/>
    <w:rsid w:val="001E3DC1"/>
    <w:rsid w:val="001E421E"/>
    <w:rsid w:val="001F0FA5"/>
    <w:rsid w:val="001F748D"/>
    <w:rsid w:val="00205D02"/>
    <w:rsid w:val="00207DF2"/>
    <w:rsid w:val="00210E05"/>
    <w:rsid w:val="00213ED4"/>
    <w:rsid w:val="00223B90"/>
    <w:rsid w:val="0022485B"/>
    <w:rsid w:val="00226C91"/>
    <w:rsid w:val="00230A16"/>
    <w:rsid w:val="00235AE3"/>
    <w:rsid w:val="002363E9"/>
    <w:rsid w:val="002408C9"/>
    <w:rsid w:val="00250E04"/>
    <w:rsid w:val="00260DBC"/>
    <w:rsid w:val="00264819"/>
    <w:rsid w:val="00270110"/>
    <w:rsid w:val="00271EE2"/>
    <w:rsid w:val="00272E51"/>
    <w:rsid w:val="00280853"/>
    <w:rsid w:val="002830BE"/>
    <w:rsid w:val="002903A5"/>
    <w:rsid w:val="00293273"/>
    <w:rsid w:val="0029498E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83A02"/>
    <w:rsid w:val="00384760"/>
    <w:rsid w:val="0039117F"/>
    <w:rsid w:val="0039145D"/>
    <w:rsid w:val="003947B6"/>
    <w:rsid w:val="003A1B2D"/>
    <w:rsid w:val="003A2C9D"/>
    <w:rsid w:val="003A586C"/>
    <w:rsid w:val="003B5E23"/>
    <w:rsid w:val="003C30FE"/>
    <w:rsid w:val="003C35B0"/>
    <w:rsid w:val="003C3659"/>
    <w:rsid w:val="003E5543"/>
    <w:rsid w:val="003E7DA6"/>
    <w:rsid w:val="003F75EB"/>
    <w:rsid w:val="00400205"/>
    <w:rsid w:val="00405177"/>
    <w:rsid w:val="0040662F"/>
    <w:rsid w:val="00417A90"/>
    <w:rsid w:val="00426848"/>
    <w:rsid w:val="00426E04"/>
    <w:rsid w:val="00430B24"/>
    <w:rsid w:val="0043375D"/>
    <w:rsid w:val="00440058"/>
    <w:rsid w:val="00451A49"/>
    <w:rsid w:val="0045303E"/>
    <w:rsid w:val="00455F0E"/>
    <w:rsid w:val="00460188"/>
    <w:rsid w:val="004631DC"/>
    <w:rsid w:val="00463437"/>
    <w:rsid w:val="004659F7"/>
    <w:rsid w:val="00472B63"/>
    <w:rsid w:val="0047606D"/>
    <w:rsid w:val="00477115"/>
    <w:rsid w:val="00481851"/>
    <w:rsid w:val="004821C9"/>
    <w:rsid w:val="004827A9"/>
    <w:rsid w:val="00492844"/>
    <w:rsid w:val="00493E9A"/>
    <w:rsid w:val="004A3CCC"/>
    <w:rsid w:val="004A75F6"/>
    <w:rsid w:val="004B2811"/>
    <w:rsid w:val="004B61EF"/>
    <w:rsid w:val="004C1040"/>
    <w:rsid w:val="004D2F55"/>
    <w:rsid w:val="004E0B39"/>
    <w:rsid w:val="004E3BA4"/>
    <w:rsid w:val="004F5810"/>
    <w:rsid w:val="004F701A"/>
    <w:rsid w:val="004F7A19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44EA"/>
    <w:rsid w:val="00596C3D"/>
    <w:rsid w:val="005A6E12"/>
    <w:rsid w:val="005B12A3"/>
    <w:rsid w:val="005B451C"/>
    <w:rsid w:val="005B63FB"/>
    <w:rsid w:val="005B6469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1F39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F79"/>
    <w:rsid w:val="006B3841"/>
    <w:rsid w:val="006B680B"/>
    <w:rsid w:val="006B7633"/>
    <w:rsid w:val="006C51D8"/>
    <w:rsid w:val="006D081F"/>
    <w:rsid w:val="006D2A8C"/>
    <w:rsid w:val="006E350C"/>
    <w:rsid w:val="006F5B01"/>
    <w:rsid w:val="006F61FA"/>
    <w:rsid w:val="00701E45"/>
    <w:rsid w:val="00705919"/>
    <w:rsid w:val="00707BDE"/>
    <w:rsid w:val="007259DC"/>
    <w:rsid w:val="0074098C"/>
    <w:rsid w:val="0074473F"/>
    <w:rsid w:val="00744C05"/>
    <w:rsid w:val="007474DD"/>
    <w:rsid w:val="0075096A"/>
    <w:rsid w:val="0075152F"/>
    <w:rsid w:val="0075412D"/>
    <w:rsid w:val="00754AE8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68E1"/>
    <w:rsid w:val="007777AA"/>
    <w:rsid w:val="0078361D"/>
    <w:rsid w:val="007858B1"/>
    <w:rsid w:val="00790259"/>
    <w:rsid w:val="00790FCD"/>
    <w:rsid w:val="00796794"/>
    <w:rsid w:val="00797D01"/>
    <w:rsid w:val="007A01AD"/>
    <w:rsid w:val="007A40EA"/>
    <w:rsid w:val="007A5029"/>
    <w:rsid w:val="007B096E"/>
    <w:rsid w:val="007B34AD"/>
    <w:rsid w:val="007B356D"/>
    <w:rsid w:val="007B5B9B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058E5"/>
    <w:rsid w:val="00811ECD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1B06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6E75"/>
    <w:rsid w:val="008A757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F1E35"/>
    <w:rsid w:val="008F257F"/>
    <w:rsid w:val="008F67EA"/>
    <w:rsid w:val="00900259"/>
    <w:rsid w:val="00901AF4"/>
    <w:rsid w:val="0091086B"/>
    <w:rsid w:val="009219D9"/>
    <w:rsid w:val="009257DA"/>
    <w:rsid w:val="00925ABC"/>
    <w:rsid w:val="00925C4F"/>
    <w:rsid w:val="009275D3"/>
    <w:rsid w:val="00935B4E"/>
    <w:rsid w:val="00935D8B"/>
    <w:rsid w:val="00943059"/>
    <w:rsid w:val="00947338"/>
    <w:rsid w:val="00952650"/>
    <w:rsid w:val="00953B62"/>
    <w:rsid w:val="00954C8E"/>
    <w:rsid w:val="0096292F"/>
    <w:rsid w:val="0096515D"/>
    <w:rsid w:val="00965F9F"/>
    <w:rsid w:val="00967DEB"/>
    <w:rsid w:val="00971B3A"/>
    <w:rsid w:val="00982400"/>
    <w:rsid w:val="00996408"/>
    <w:rsid w:val="009964EC"/>
    <w:rsid w:val="009A0B31"/>
    <w:rsid w:val="009A360A"/>
    <w:rsid w:val="009B1A41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43F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35DC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2B4D"/>
    <w:rsid w:val="00AA7F91"/>
    <w:rsid w:val="00AB3E4E"/>
    <w:rsid w:val="00AB4482"/>
    <w:rsid w:val="00AB7C97"/>
    <w:rsid w:val="00AC257E"/>
    <w:rsid w:val="00AC5DD8"/>
    <w:rsid w:val="00AC65F0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19B"/>
    <w:rsid w:val="00B5400E"/>
    <w:rsid w:val="00B56E8D"/>
    <w:rsid w:val="00B629CD"/>
    <w:rsid w:val="00B679FF"/>
    <w:rsid w:val="00B71B30"/>
    <w:rsid w:val="00B850FB"/>
    <w:rsid w:val="00B85502"/>
    <w:rsid w:val="00B87191"/>
    <w:rsid w:val="00B90FA2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5EE4"/>
    <w:rsid w:val="00BC6146"/>
    <w:rsid w:val="00BD05E4"/>
    <w:rsid w:val="00BD0CD0"/>
    <w:rsid w:val="00BD2099"/>
    <w:rsid w:val="00BD45AC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50335"/>
    <w:rsid w:val="00C57C74"/>
    <w:rsid w:val="00C669E2"/>
    <w:rsid w:val="00C75170"/>
    <w:rsid w:val="00C80A72"/>
    <w:rsid w:val="00C8261F"/>
    <w:rsid w:val="00C850D0"/>
    <w:rsid w:val="00C918A7"/>
    <w:rsid w:val="00C9523C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CF5639"/>
    <w:rsid w:val="00D02BFE"/>
    <w:rsid w:val="00D0338A"/>
    <w:rsid w:val="00D06F46"/>
    <w:rsid w:val="00D101BF"/>
    <w:rsid w:val="00D12C00"/>
    <w:rsid w:val="00D12D00"/>
    <w:rsid w:val="00D12D52"/>
    <w:rsid w:val="00D17D51"/>
    <w:rsid w:val="00D23007"/>
    <w:rsid w:val="00D2495E"/>
    <w:rsid w:val="00D30BA2"/>
    <w:rsid w:val="00D34889"/>
    <w:rsid w:val="00D3652A"/>
    <w:rsid w:val="00D43C36"/>
    <w:rsid w:val="00D44089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366"/>
    <w:rsid w:val="00DD7B40"/>
    <w:rsid w:val="00DE0DC3"/>
    <w:rsid w:val="00DF2A17"/>
    <w:rsid w:val="00DF4888"/>
    <w:rsid w:val="00E0350C"/>
    <w:rsid w:val="00E047E6"/>
    <w:rsid w:val="00E11844"/>
    <w:rsid w:val="00E11E0D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10D5"/>
    <w:rsid w:val="00E557E8"/>
    <w:rsid w:val="00E6177E"/>
    <w:rsid w:val="00E61CE9"/>
    <w:rsid w:val="00E64BFE"/>
    <w:rsid w:val="00E7074B"/>
    <w:rsid w:val="00E71E5D"/>
    <w:rsid w:val="00E73DAB"/>
    <w:rsid w:val="00E771C7"/>
    <w:rsid w:val="00E8465A"/>
    <w:rsid w:val="00E852CC"/>
    <w:rsid w:val="00E963EE"/>
    <w:rsid w:val="00E966E7"/>
    <w:rsid w:val="00EA76FD"/>
    <w:rsid w:val="00EB6B6C"/>
    <w:rsid w:val="00EB7690"/>
    <w:rsid w:val="00EB7CA6"/>
    <w:rsid w:val="00EC2C77"/>
    <w:rsid w:val="00EC3241"/>
    <w:rsid w:val="00EC3404"/>
    <w:rsid w:val="00EC3E49"/>
    <w:rsid w:val="00EC4670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EF7C2D"/>
    <w:rsid w:val="00F00581"/>
    <w:rsid w:val="00F01CD0"/>
    <w:rsid w:val="00F03643"/>
    <w:rsid w:val="00F0419D"/>
    <w:rsid w:val="00F105CD"/>
    <w:rsid w:val="00F11FE4"/>
    <w:rsid w:val="00F1714F"/>
    <w:rsid w:val="00F2453F"/>
    <w:rsid w:val="00F36D7B"/>
    <w:rsid w:val="00F51533"/>
    <w:rsid w:val="00F57C42"/>
    <w:rsid w:val="00F65C1F"/>
    <w:rsid w:val="00F6767A"/>
    <w:rsid w:val="00F70273"/>
    <w:rsid w:val="00F72722"/>
    <w:rsid w:val="00F72B14"/>
    <w:rsid w:val="00F739E9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2CC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8D2"/>
    <w:rsid w:val="00FE1A95"/>
    <w:rsid w:val="00FE6B8F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customStyle="1" w:styleId="ZhlavChar">
    <w:name w:val="Záhlaví Char"/>
    <w:link w:val="Zhlav"/>
    <w:rsid w:val="00E85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PS11256</RequestID>
    <PocetZnRetezec xmlns="acca34e4-9ecd-41c8-99eb-d6aa654aaa55" xsi:nil="true"/>
    <Block_WF xmlns="acca34e4-9ecd-41c8-99eb-d6aa654aaa55">3</Block_WF>
    <ZkracenyRetezec xmlns="acca34e4-9ecd-41c8-99eb-d6aa654aaa55">2010-1758/1758-2019%20RS.docx</ZkracenyRetezec>
    <Smazat xmlns="acca34e4-9ecd-41c8-99eb-d6aa654aaa55">&lt;a href="/sites/evidencesmluv/_layouts/15/IniWrkflIP.aspx?List=%7b06793727-BBB9-4189-9F5D-E18E36F4EA7C%7d&amp;amp;ID=2748&amp;amp;ItemGuid=%7b4B90551F-0FE1-4C6C-B707-630AE18EF8EE%7d&amp;amp;TemplateID=%7bc9672366-ba83-4c7a-b3ac-82af318e27d3%7d"&gt;&lt;img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0561A-A3D4-4310-A830-0C56700292F0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6D16D787-DEC5-4243-A052-83F2631A82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5E2161-6340-4FD4-A9DA-3119B5DBB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2879</Words>
  <Characters>16854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SZM_elekt. generátor</vt:lpstr>
      <vt:lpstr>Kupní smlouva SZM_elekt. generátor</vt:lpstr>
    </vt:vector>
  </TitlesOfParts>
  <Company>vfn</Company>
  <LinksUpToDate>false</LinksUpToDate>
  <CharactersWithSpaces>19694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SZM_elekt. generátor</dc:title>
  <dc:creator>Pecharová Vítězslava, Mgr.</dc:creator>
  <cp:keywords>Medtronic Controlled</cp:keywords>
  <cp:lastModifiedBy>Kopačková Tereza, Mgr.</cp:lastModifiedBy>
  <cp:revision>4</cp:revision>
  <cp:lastPrinted>2019-10-04T11:10:00Z</cp:lastPrinted>
  <dcterms:created xsi:type="dcterms:W3CDTF">2019-10-04T11:29:00Z</dcterms:created>
  <dcterms:modified xsi:type="dcterms:W3CDTF">2019-10-08T12:02:00Z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c519be25-dc59-49f2-a70d-21d4dbcbc061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TitusGUID">
    <vt:lpwstr>fdcc5555-e09c-4814-a366-2ee7e76502de</vt:lpwstr>
  </property>
  <property fmtid="{D5CDD505-2E9C-101B-9397-08002B2CF9AE}" pid="13" name="Classification">
    <vt:lpwstr>MedtronicControlled</vt:lpwstr>
  </property>
</Properties>
</file>