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8C637" w14:textId="77777777" w:rsidR="0036679C" w:rsidRDefault="006D66DB">
      <w:pPr>
        <w:spacing w:after="0" w:line="259" w:lineRule="auto"/>
        <w:ind w:left="150" w:right="0" w:firstLine="0"/>
        <w:jc w:val="center"/>
      </w:pPr>
      <w:r>
        <w:rPr>
          <w:b/>
          <w:sz w:val="28"/>
        </w:rPr>
        <w:t xml:space="preserve"> </w:t>
      </w:r>
    </w:p>
    <w:p w14:paraId="3E58E84C" w14:textId="77777777" w:rsidR="0036679C" w:rsidRDefault="006D66DB">
      <w:pPr>
        <w:spacing w:after="0" w:line="259" w:lineRule="auto"/>
        <w:ind w:left="150" w:right="0" w:firstLine="0"/>
        <w:jc w:val="center"/>
      </w:pPr>
      <w:r>
        <w:rPr>
          <w:b/>
          <w:sz w:val="28"/>
        </w:rPr>
        <w:t xml:space="preserve"> </w:t>
      </w:r>
    </w:p>
    <w:p w14:paraId="73D48DEA" w14:textId="77777777" w:rsidR="0036679C" w:rsidRDefault="006D66DB">
      <w:pPr>
        <w:spacing w:after="0" w:line="259" w:lineRule="auto"/>
        <w:ind w:left="150" w:right="0" w:firstLine="0"/>
        <w:jc w:val="center"/>
      </w:pPr>
      <w:r>
        <w:rPr>
          <w:b/>
          <w:sz w:val="28"/>
        </w:rPr>
        <w:t xml:space="preserve"> </w:t>
      </w:r>
    </w:p>
    <w:p w14:paraId="3C552FD6" w14:textId="77777777" w:rsidR="0036679C" w:rsidRDefault="006D66DB">
      <w:pPr>
        <w:spacing w:after="0" w:line="259" w:lineRule="auto"/>
        <w:ind w:left="84" w:right="0" w:firstLine="0"/>
        <w:jc w:val="center"/>
      </w:pPr>
      <w:r>
        <w:rPr>
          <w:b/>
          <w:sz w:val="28"/>
        </w:rPr>
        <w:t xml:space="preserve">KUPNÍ SMLOUVA </w:t>
      </w:r>
    </w:p>
    <w:p w14:paraId="2B18F8E3" w14:textId="77777777" w:rsidR="0036679C" w:rsidRDefault="006D66DB">
      <w:pPr>
        <w:spacing w:after="0" w:line="259" w:lineRule="auto"/>
        <w:ind w:left="141" w:right="0" w:firstLine="0"/>
        <w:jc w:val="center"/>
      </w:pPr>
      <w:r>
        <w:rPr>
          <w:b/>
          <w:sz w:val="24"/>
        </w:rPr>
        <w:t xml:space="preserve"> </w:t>
      </w:r>
    </w:p>
    <w:p w14:paraId="7810F5A0" w14:textId="77777777" w:rsidR="0036679C" w:rsidRDefault="006D66DB">
      <w:pPr>
        <w:tabs>
          <w:tab w:val="center" w:pos="4394"/>
          <w:tab w:val="center" w:pos="6777"/>
        </w:tabs>
        <w:spacing w:after="0" w:line="259" w:lineRule="auto"/>
        <w:ind w:left="0" w:right="0" w:firstLine="0"/>
        <w:jc w:val="left"/>
      </w:pPr>
      <w:r>
        <w:rPr>
          <w:sz w:val="24"/>
        </w:rPr>
        <w:t>Č. smlouvy prodávajícího: VK_ZUUL_23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>Č. smlouvy kupujícího: SD1900067</w:t>
      </w:r>
      <w:r>
        <w:rPr>
          <w:sz w:val="24"/>
        </w:rPr>
        <w:t xml:space="preserve"> </w:t>
      </w:r>
    </w:p>
    <w:p w14:paraId="3DAC012C" w14:textId="77777777" w:rsidR="0036679C" w:rsidRDefault="006D66DB">
      <w:pPr>
        <w:spacing w:after="0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p w14:paraId="0AB5CD2E" w14:textId="77777777" w:rsidR="0036679C" w:rsidRDefault="006D66DB">
      <w:pPr>
        <w:spacing w:after="0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p w14:paraId="7B8D092B" w14:textId="77777777" w:rsidR="0036679C" w:rsidRDefault="006D66DB">
      <w:pPr>
        <w:spacing w:after="0" w:line="260" w:lineRule="auto"/>
        <w:ind w:left="137" w:right="4597"/>
        <w:jc w:val="left"/>
      </w:pPr>
      <w:r>
        <w:rPr>
          <w:b/>
          <w:sz w:val="24"/>
        </w:rPr>
        <w:t xml:space="preserve">Smluvní strany: </w:t>
      </w:r>
    </w:p>
    <w:p w14:paraId="6CA59DF2" w14:textId="77777777" w:rsidR="0036679C" w:rsidRDefault="006D66DB">
      <w:pPr>
        <w:spacing w:after="0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p w14:paraId="28A93956" w14:textId="77777777" w:rsidR="0036679C" w:rsidRDefault="006D66DB">
      <w:pPr>
        <w:spacing w:after="0" w:line="260" w:lineRule="auto"/>
        <w:ind w:left="137" w:right="4597"/>
        <w:jc w:val="left"/>
      </w:pPr>
      <w:r>
        <w:rPr>
          <w:b/>
          <w:sz w:val="24"/>
        </w:rPr>
        <w:t xml:space="preserve">DYNEX </w:t>
      </w:r>
      <w:proofErr w:type="spellStart"/>
      <w:r>
        <w:rPr>
          <w:b/>
          <w:sz w:val="24"/>
        </w:rPr>
        <w:t>LabSolutions</w:t>
      </w:r>
      <w:proofErr w:type="spellEnd"/>
      <w:r>
        <w:rPr>
          <w:b/>
          <w:sz w:val="24"/>
        </w:rPr>
        <w:t>, s.r.o.</w:t>
      </w:r>
      <w:r>
        <w:rPr>
          <w:sz w:val="24"/>
        </w:rPr>
        <w:t xml:space="preserve"> </w:t>
      </w:r>
    </w:p>
    <w:p w14:paraId="7F096BC9" w14:textId="7FFB44AB" w:rsidR="0036679C" w:rsidRDefault="006D66DB">
      <w:pPr>
        <w:spacing w:after="0" w:line="241" w:lineRule="auto"/>
        <w:ind w:left="126" w:firstLine="0"/>
        <w:jc w:val="left"/>
      </w:pPr>
      <w:r>
        <w:t>IČ 066 16 631, DIČ CZ06616631</w:t>
      </w:r>
      <w:r>
        <w:t xml:space="preserve"> </w:t>
      </w:r>
      <w:r>
        <w:t>sídlem Praha 1, Nové Město, Senovážné náměstí</w:t>
      </w:r>
      <w:r>
        <w:t xml:space="preserve"> </w:t>
      </w:r>
      <w:r>
        <w:t>978/23, PSČ 110 00</w:t>
      </w:r>
      <w:r>
        <w:t xml:space="preserve"> </w:t>
      </w:r>
      <w:r>
        <w:t>provozovna / kontaktní adresa Buštěhrad, Lidická 977, PSČ 273 43</w:t>
      </w:r>
      <w:r>
        <w:t xml:space="preserve"> </w:t>
      </w:r>
      <w:proofErr w:type="spellStart"/>
      <w:r>
        <w:t>zaps</w:t>
      </w:r>
      <w:proofErr w:type="spellEnd"/>
      <w:r>
        <w:t>. do OR vedeného Městským soudem v</w:t>
      </w:r>
      <w:r>
        <w:t xml:space="preserve"> </w:t>
      </w:r>
      <w:r>
        <w:t>Praze, oddíl C, vložka 285541</w:t>
      </w:r>
      <w:r>
        <w:t xml:space="preserve"> </w:t>
      </w:r>
      <w:r>
        <w:t xml:space="preserve">bankovní spojení: </w:t>
      </w:r>
      <w:proofErr w:type="spellStart"/>
      <w:r>
        <w:t>UniCredit</w:t>
      </w:r>
      <w:proofErr w:type="spellEnd"/>
      <w:r>
        <w:t xml:space="preserve"> Bank, a.s.</w:t>
      </w:r>
      <w:r>
        <w:t xml:space="preserve">; </w:t>
      </w:r>
      <w:r>
        <w:t>číslo účtu: 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  <w:proofErr w:type="spellStart"/>
      <w:r>
        <w:t>zast</w:t>
      </w:r>
      <w:proofErr w:type="spellEnd"/>
      <w:r>
        <w:t>.</w:t>
      </w:r>
      <w:r>
        <w:t xml:space="preserve"> </w:t>
      </w:r>
      <w:r>
        <w:t>svou jednatelkou</w:t>
      </w:r>
      <w:r>
        <w:t xml:space="preserve"> </w:t>
      </w:r>
      <w:r>
        <w:t>Ing. Zorou Hanzlíkovou</w:t>
      </w:r>
      <w:r>
        <w:t xml:space="preserve"> </w:t>
      </w:r>
    </w:p>
    <w:p w14:paraId="2778EC2A" w14:textId="77777777" w:rsidR="0036679C" w:rsidRDefault="006D66DB">
      <w:pPr>
        <w:spacing w:after="0" w:line="259" w:lineRule="auto"/>
        <w:ind w:left="141" w:right="0" w:firstLine="0"/>
        <w:jc w:val="left"/>
      </w:pPr>
      <w:r>
        <w:t xml:space="preserve"> </w:t>
      </w:r>
    </w:p>
    <w:p w14:paraId="6508E1B2" w14:textId="77777777" w:rsidR="0036679C" w:rsidRDefault="006D66DB">
      <w:pPr>
        <w:spacing w:after="62"/>
        <w:ind w:left="138" w:right="41"/>
      </w:pPr>
      <w:r>
        <w:t>další osoby oprávněné jednat ve věci této smlouvy:</w:t>
      </w:r>
      <w:r>
        <w:t xml:space="preserve"> </w:t>
      </w:r>
    </w:p>
    <w:p w14:paraId="20C74CB9" w14:textId="77777777" w:rsidR="0036679C" w:rsidRDefault="006D66DB">
      <w:pPr>
        <w:ind w:left="1078" w:right="4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ve věcech plnění k veřejné zakázce a věcech smluvních: </w:t>
      </w:r>
      <w:r>
        <w:t xml:space="preserve"> </w:t>
      </w:r>
    </w:p>
    <w:p w14:paraId="18D70DA1" w14:textId="485C7AF9" w:rsidR="0036679C" w:rsidRDefault="006D66DB">
      <w:pPr>
        <w:spacing w:after="62"/>
        <w:ind w:left="1438" w:right="41"/>
      </w:pPr>
      <w:r>
        <w:t>……………………………………………………………..</w:t>
      </w:r>
    </w:p>
    <w:p w14:paraId="0D32AAB7" w14:textId="77777777" w:rsidR="0036679C" w:rsidRDefault="006D66DB">
      <w:pPr>
        <w:ind w:left="1078" w:right="4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ve věcech provozních a technických</w:t>
      </w:r>
      <w:r>
        <w:t xml:space="preserve"> </w:t>
      </w:r>
    </w:p>
    <w:p w14:paraId="6BCBDE0F" w14:textId="73D4C10F" w:rsidR="0036679C" w:rsidRDefault="006D66DB">
      <w:pPr>
        <w:spacing w:after="62"/>
        <w:ind w:left="1438" w:right="41"/>
      </w:pPr>
      <w:r>
        <w:t>………………………………………………………..........</w:t>
      </w:r>
    </w:p>
    <w:p w14:paraId="0712CC68" w14:textId="77777777" w:rsidR="0036679C" w:rsidRDefault="006D66DB">
      <w:pPr>
        <w:ind w:left="1078" w:right="4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ve věcech fakturačních a ekonomických</w:t>
      </w:r>
      <w:r>
        <w:t xml:space="preserve"> </w:t>
      </w:r>
    </w:p>
    <w:p w14:paraId="77385512" w14:textId="3FF406D9" w:rsidR="0036679C" w:rsidRDefault="006D66DB">
      <w:pPr>
        <w:ind w:left="1438" w:right="41"/>
      </w:pPr>
      <w:r>
        <w:t>……………………………………………………………..</w:t>
      </w:r>
    </w:p>
    <w:p w14:paraId="47248295" w14:textId="77777777" w:rsidR="0036679C" w:rsidRDefault="006D66DB">
      <w:pPr>
        <w:spacing w:after="0" w:line="259" w:lineRule="auto"/>
        <w:ind w:left="141" w:right="0" w:firstLine="0"/>
        <w:jc w:val="left"/>
      </w:pPr>
      <w:r>
        <w:t xml:space="preserve"> </w:t>
      </w:r>
    </w:p>
    <w:p w14:paraId="5EB26F76" w14:textId="77777777" w:rsidR="0036679C" w:rsidRDefault="006D66DB">
      <w:pPr>
        <w:spacing w:after="0" w:line="259" w:lineRule="auto"/>
        <w:ind w:left="136" w:right="0"/>
        <w:jc w:val="left"/>
      </w:pPr>
      <w:r>
        <w:t>(</w:t>
      </w:r>
      <w:r>
        <w:t>dále jako „</w:t>
      </w:r>
      <w:r>
        <w:rPr>
          <w:b/>
        </w:rPr>
        <w:t>prodávající</w:t>
      </w:r>
      <w:r>
        <w:t xml:space="preserve">“ </w:t>
      </w:r>
      <w:r>
        <w:t>nebo „</w:t>
      </w:r>
      <w:r>
        <w:rPr>
          <w:b/>
        </w:rPr>
        <w:t>dodavatel</w:t>
      </w:r>
      <w:r>
        <w:t xml:space="preserve">“) </w:t>
      </w:r>
    </w:p>
    <w:p w14:paraId="7E6AD9D4" w14:textId="77777777" w:rsidR="0036679C" w:rsidRDefault="006D66DB">
      <w:pPr>
        <w:spacing w:after="0" w:line="259" w:lineRule="auto"/>
        <w:ind w:left="141" w:right="0" w:firstLine="0"/>
        <w:jc w:val="left"/>
      </w:pPr>
      <w:r>
        <w:rPr>
          <w:b/>
        </w:rPr>
        <w:t xml:space="preserve"> </w:t>
      </w:r>
    </w:p>
    <w:p w14:paraId="6433A3A8" w14:textId="77777777" w:rsidR="0036679C" w:rsidRDefault="006D66DB">
      <w:pPr>
        <w:spacing w:after="0" w:line="259" w:lineRule="auto"/>
        <w:ind w:left="136" w:right="0"/>
        <w:jc w:val="left"/>
      </w:pPr>
      <w:r>
        <w:rPr>
          <w:b/>
        </w:rPr>
        <w:t xml:space="preserve">a </w:t>
      </w:r>
    </w:p>
    <w:p w14:paraId="2C1A57CC" w14:textId="77777777" w:rsidR="0036679C" w:rsidRDefault="006D66DB">
      <w:pPr>
        <w:spacing w:after="0" w:line="259" w:lineRule="auto"/>
        <w:ind w:left="141" w:right="0" w:firstLine="0"/>
        <w:jc w:val="left"/>
      </w:pPr>
      <w:r>
        <w:rPr>
          <w:b/>
        </w:rPr>
        <w:t xml:space="preserve"> </w:t>
      </w:r>
    </w:p>
    <w:p w14:paraId="09A6F8F1" w14:textId="77777777" w:rsidR="0036679C" w:rsidRDefault="006D66DB">
      <w:pPr>
        <w:spacing w:after="0" w:line="260" w:lineRule="auto"/>
        <w:ind w:left="137" w:right="4597"/>
        <w:jc w:val="left"/>
      </w:pPr>
      <w:r>
        <w:rPr>
          <w:b/>
          <w:sz w:val="24"/>
        </w:rPr>
        <w:t xml:space="preserve">Zdravotní ústav se sídlem v Ústí nad Labem </w:t>
      </w:r>
      <w:r>
        <w:t>IČ</w:t>
      </w:r>
      <w:r>
        <w:t xml:space="preserve"> </w:t>
      </w:r>
      <w:r>
        <w:t xml:space="preserve">710 09 </w:t>
      </w:r>
      <w:proofErr w:type="gramStart"/>
      <w:r>
        <w:t>361</w:t>
      </w:r>
      <w:r>
        <w:rPr>
          <w:rFonts w:ascii="Arial" w:eastAsia="Arial" w:hAnsi="Arial" w:cs="Arial"/>
          <w:color w:val="636363"/>
          <w:sz w:val="18"/>
        </w:rPr>
        <w:t xml:space="preserve">, </w:t>
      </w:r>
      <w:r>
        <w:t xml:space="preserve"> </w:t>
      </w:r>
      <w:r>
        <w:t>DIČ</w:t>
      </w:r>
      <w:proofErr w:type="gramEnd"/>
      <w:r>
        <w:t xml:space="preserve"> CZ71009361</w:t>
      </w:r>
      <w:r>
        <w:t xml:space="preserve"> </w:t>
      </w:r>
    </w:p>
    <w:p w14:paraId="65A8E222" w14:textId="77777777" w:rsidR="0036679C" w:rsidRDefault="006D66DB">
      <w:pPr>
        <w:ind w:left="138" w:right="4090"/>
      </w:pPr>
      <w:r>
        <w:t>sídlem Moskevská</w:t>
      </w:r>
      <w:r>
        <w:t xml:space="preserve"> </w:t>
      </w:r>
      <w:r>
        <w:t>1531/15, 400 01 Ústí nad Labem</w:t>
      </w:r>
      <w:r>
        <w:rPr>
          <w:b/>
        </w:rPr>
        <w:t xml:space="preserve"> </w:t>
      </w:r>
      <w:proofErr w:type="spellStart"/>
      <w:r>
        <w:t>zast</w:t>
      </w:r>
      <w:proofErr w:type="spellEnd"/>
      <w:r>
        <w:t xml:space="preserve">. svým ředitelem Ing. Pavlem </w:t>
      </w:r>
      <w:proofErr w:type="spellStart"/>
      <w:r>
        <w:t>Bernáthem</w:t>
      </w:r>
      <w:proofErr w:type="spellEnd"/>
      <w:r>
        <w:t xml:space="preserve"> </w:t>
      </w:r>
    </w:p>
    <w:p w14:paraId="1AF80F1E" w14:textId="77777777" w:rsidR="0036679C" w:rsidRDefault="006D66DB">
      <w:pPr>
        <w:spacing w:after="1154"/>
        <w:ind w:left="138" w:right="4564"/>
      </w:pPr>
      <w:r>
        <w:t xml:space="preserve"> </w:t>
      </w:r>
      <w:r>
        <w:t>další osoby oprávněné jednat ve věci této smlouvy:</w:t>
      </w:r>
      <w:r>
        <w:t xml:space="preserve"> </w:t>
      </w:r>
    </w:p>
    <w:tbl>
      <w:tblPr>
        <w:tblStyle w:val="TableGrid"/>
        <w:tblpPr w:vertAnchor="text" w:tblpX="1068" w:tblpY="-1151"/>
        <w:tblOverlap w:val="never"/>
        <w:tblW w:w="89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578"/>
      </w:tblGrid>
      <w:tr w:rsidR="0036679C" w14:paraId="2ADEC92B" w14:textId="77777777">
        <w:trPr>
          <w:trHeight w:val="75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68A06E" w14:textId="77777777" w:rsidR="0036679C" w:rsidRDefault="006D66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</w:tcPr>
          <w:p w14:paraId="7DDF6E14" w14:textId="77777777" w:rsidR="0036679C" w:rsidRDefault="006D66DB">
            <w:pPr>
              <w:spacing w:after="0" w:line="259" w:lineRule="auto"/>
              <w:ind w:left="0" w:right="0" w:firstLine="0"/>
              <w:jc w:val="left"/>
            </w:pPr>
            <w:r>
              <w:t xml:space="preserve">ve věcech plnění k veřejné zakázce a věcech smluvních: </w:t>
            </w:r>
            <w:r>
              <w:t xml:space="preserve"> </w:t>
            </w:r>
          </w:p>
          <w:p w14:paraId="7F8EF876" w14:textId="59E5B18D" w:rsidR="0036679C" w:rsidRDefault="006D66DB">
            <w:pPr>
              <w:spacing w:after="0" w:line="259" w:lineRule="auto"/>
              <w:ind w:left="0" w:right="0" w:firstLine="0"/>
            </w:pPr>
            <w:r>
              <w:t>Ing. …………………………………………………….</w:t>
            </w:r>
            <w:r>
              <w:t xml:space="preserve"> </w:t>
            </w:r>
          </w:p>
        </w:tc>
      </w:tr>
      <w:tr w:rsidR="0036679C" w14:paraId="6E825E84" w14:textId="77777777">
        <w:trPr>
          <w:trHeight w:val="29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D84BAA" w14:textId="77777777" w:rsidR="0036679C" w:rsidRDefault="006D66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</w:tcPr>
          <w:p w14:paraId="67DB98D0" w14:textId="77777777" w:rsidR="0036679C" w:rsidRDefault="006D66DB">
            <w:pPr>
              <w:spacing w:after="0" w:line="259" w:lineRule="auto"/>
              <w:ind w:left="0" w:right="0" w:firstLine="0"/>
              <w:jc w:val="left"/>
            </w:pPr>
            <w:r>
              <w:t>ve věcech provozních a technických</w:t>
            </w:r>
            <w:r>
              <w:t xml:space="preserve"> </w:t>
            </w:r>
          </w:p>
        </w:tc>
      </w:tr>
    </w:tbl>
    <w:p w14:paraId="71F66505" w14:textId="77777777" w:rsidR="006D66DB" w:rsidRDefault="006D66DB">
      <w:pPr>
        <w:ind w:left="1078" w:right="41"/>
      </w:pPr>
      <w:r>
        <w:t>………………………………..</w:t>
      </w:r>
    </w:p>
    <w:p w14:paraId="6DBB3045" w14:textId="1CDB955D" w:rsidR="0036679C" w:rsidRDefault="006D66DB" w:rsidP="006D66DB">
      <w:pPr>
        <w:pStyle w:val="Odstavecseseznamem"/>
        <w:numPr>
          <w:ilvl w:val="0"/>
          <w:numId w:val="7"/>
        </w:numPr>
        <w:ind w:right="41"/>
      </w:pPr>
      <w:r w:rsidRPr="006D66DB">
        <w:rPr>
          <w:rFonts w:ascii="Arial" w:eastAsia="Arial" w:hAnsi="Arial" w:cs="Arial"/>
        </w:rPr>
        <w:t xml:space="preserve"> </w:t>
      </w:r>
      <w:r>
        <w:t>ve věcech fakturačních a ekonomických</w:t>
      </w:r>
      <w:r>
        <w:t xml:space="preserve"> </w:t>
      </w:r>
    </w:p>
    <w:p w14:paraId="4137BB95" w14:textId="4FED20EF" w:rsidR="0036679C" w:rsidRDefault="006D66DB">
      <w:pPr>
        <w:spacing w:after="0" w:line="259" w:lineRule="auto"/>
        <w:ind w:left="906" w:right="0" w:firstLine="0"/>
        <w:jc w:val="center"/>
      </w:pPr>
      <w:r>
        <w:t>…………………………………………….</w:t>
      </w:r>
    </w:p>
    <w:p w14:paraId="122407FE" w14:textId="77777777" w:rsidR="0036679C" w:rsidRDefault="006D66DB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0B534BFB" w14:textId="77777777" w:rsidR="0036679C" w:rsidRDefault="006D66DB">
      <w:pPr>
        <w:ind w:left="138" w:right="41"/>
      </w:pPr>
      <w:r>
        <w:t>(</w:t>
      </w:r>
      <w:r>
        <w:t>dále jako „</w:t>
      </w:r>
      <w:r>
        <w:rPr>
          <w:b/>
        </w:rPr>
        <w:t>kupující</w:t>
      </w:r>
      <w:r>
        <w:t xml:space="preserve">“ </w:t>
      </w:r>
      <w:r>
        <w:t>nebo „</w:t>
      </w:r>
      <w:r>
        <w:rPr>
          <w:b/>
        </w:rPr>
        <w:t>zadavatel</w:t>
      </w:r>
      <w:r>
        <w:t xml:space="preserve">“) </w:t>
      </w:r>
    </w:p>
    <w:p w14:paraId="15969236" w14:textId="77777777" w:rsidR="0036679C" w:rsidRDefault="006D66DB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4C73D3AB" w14:textId="77777777" w:rsidR="0036679C" w:rsidRDefault="006D66DB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128C2DDA" w14:textId="77777777" w:rsidR="0036679C" w:rsidRDefault="006D66DB">
      <w:pPr>
        <w:ind w:left="4489" w:right="1946" w:hanging="2026"/>
      </w:pPr>
      <w:r>
        <w:t>spolu uzavřeli dne, měsíce a roku níže uvedeného</w:t>
      </w:r>
      <w:r>
        <w:t xml:space="preserve"> </w:t>
      </w:r>
      <w:r>
        <w:t>tuto</w:t>
      </w:r>
      <w:r>
        <w:t xml:space="preserve"> </w:t>
      </w:r>
    </w:p>
    <w:p w14:paraId="26C7B8CC" w14:textId="77777777" w:rsidR="0036679C" w:rsidRDefault="006D66DB">
      <w:pPr>
        <w:spacing w:after="439" w:line="259" w:lineRule="auto"/>
        <w:ind w:left="136" w:right="0" w:firstLine="0"/>
        <w:jc w:val="center"/>
      </w:pPr>
      <w:r>
        <w:t xml:space="preserve"> </w:t>
      </w:r>
    </w:p>
    <w:p w14:paraId="57093137" w14:textId="77777777" w:rsidR="0036679C" w:rsidRDefault="006D66DB">
      <w:pPr>
        <w:spacing w:after="356" w:line="259" w:lineRule="auto"/>
        <w:ind w:left="149" w:right="53"/>
        <w:jc w:val="center"/>
      </w:pPr>
      <w:r>
        <w:lastRenderedPageBreak/>
        <w:t xml:space="preserve">Strana 1 (celkem 6) </w:t>
      </w:r>
    </w:p>
    <w:p w14:paraId="16B1F349" w14:textId="77777777" w:rsidR="0036679C" w:rsidRDefault="006D66DB">
      <w:pPr>
        <w:spacing w:after="0" w:line="259" w:lineRule="auto"/>
        <w:ind w:left="454" w:right="378"/>
        <w:jc w:val="center"/>
      </w:pPr>
      <w:r>
        <w:rPr>
          <w:b/>
        </w:rPr>
        <w:t xml:space="preserve">Kupní smlouvu </w:t>
      </w:r>
    </w:p>
    <w:p w14:paraId="43CEE500" w14:textId="77777777" w:rsidR="0036679C" w:rsidRDefault="006D66DB">
      <w:pPr>
        <w:ind w:left="3718" w:right="41" w:hanging="3478"/>
      </w:pPr>
      <w:r>
        <w:t xml:space="preserve">(dle </w:t>
      </w:r>
      <w:proofErr w:type="spellStart"/>
      <w:r>
        <w:t>ust</w:t>
      </w:r>
      <w:proofErr w:type="spellEnd"/>
      <w:r>
        <w:t>. § 2079 a násl. zák. č. 89/2012 Sb., občanský zákoník, ve znění pozdějších předpisů</w:t>
      </w:r>
      <w:r>
        <w:t xml:space="preserve"> </w:t>
      </w:r>
      <w:r>
        <w:t>(dále jen „</w:t>
      </w:r>
      <w:r>
        <w:rPr>
          <w:b/>
        </w:rPr>
        <w:t>občanský zákoník</w:t>
      </w:r>
      <w:r>
        <w:t xml:space="preserve">“)) </w:t>
      </w:r>
    </w:p>
    <w:p w14:paraId="733414A7" w14:textId="77777777" w:rsidR="0036679C" w:rsidRDefault="006D66DB">
      <w:pPr>
        <w:spacing w:after="0" w:line="259" w:lineRule="auto"/>
        <w:ind w:left="136" w:right="0" w:firstLine="0"/>
        <w:jc w:val="center"/>
      </w:pPr>
      <w:r>
        <w:rPr>
          <w:b/>
        </w:rPr>
        <w:t xml:space="preserve"> </w:t>
      </w:r>
    </w:p>
    <w:p w14:paraId="30093AD6" w14:textId="77777777" w:rsidR="0036679C" w:rsidRDefault="006D66DB">
      <w:pPr>
        <w:spacing w:after="0" w:line="259" w:lineRule="auto"/>
        <w:ind w:left="454" w:right="356"/>
        <w:jc w:val="center"/>
      </w:pPr>
      <w:r>
        <w:rPr>
          <w:b/>
        </w:rPr>
        <w:t xml:space="preserve">I </w:t>
      </w:r>
    </w:p>
    <w:p w14:paraId="6D22FA6F" w14:textId="77777777" w:rsidR="0036679C" w:rsidRDefault="006D66DB">
      <w:pPr>
        <w:pStyle w:val="Nadpis1"/>
        <w:ind w:left="98" w:right="3"/>
      </w:pPr>
      <w:r>
        <w:t>Předmět smlouvy</w:t>
      </w:r>
      <w:r>
        <w:t xml:space="preserve"> </w:t>
      </w:r>
    </w:p>
    <w:p w14:paraId="71EE543B" w14:textId="77777777" w:rsidR="0036679C" w:rsidRDefault="006D66DB">
      <w:pPr>
        <w:numPr>
          <w:ilvl w:val="0"/>
          <w:numId w:val="1"/>
        </w:numPr>
        <w:ind w:left="138" w:right="41"/>
      </w:pPr>
      <w:r>
        <w:t>Tato</w:t>
      </w:r>
      <w:r>
        <w:t xml:space="preserve"> </w:t>
      </w:r>
      <w:r>
        <w:t>smlouva je uzavírána s vybraným dodavatelem, jehož nabídka byla vybr</w:t>
      </w:r>
      <w:r>
        <w:t xml:space="preserve">ána jako nejvýhodnější k nadlimitní veřejné zakázce na dodávky „ZUUL </w:t>
      </w:r>
      <w:r>
        <w:t xml:space="preserve">– </w:t>
      </w:r>
      <w:r>
        <w:t>Dodávka látek pro diagnostické metody 2019, druhá etapa“, části číslo 23.</w:t>
      </w:r>
      <w:r>
        <w:t xml:space="preserve"> </w:t>
      </w:r>
    </w:p>
    <w:p w14:paraId="5F224874" w14:textId="77777777" w:rsidR="0036679C" w:rsidRDefault="006D66DB">
      <w:pPr>
        <w:spacing w:after="39" w:line="259" w:lineRule="auto"/>
        <w:ind w:left="142" w:right="0" w:firstLine="0"/>
        <w:jc w:val="left"/>
      </w:pPr>
      <w:r>
        <w:t xml:space="preserve"> </w:t>
      </w:r>
    </w:p>
    <w:p w14:paraId="41426F12" w14:textId="77777777" w:rsidR="0036679C" w:rsidRDefault="006D66DB">
      <w:pPr>
        <w:numPr>
          <w:ilvl w:val="0"/>
          <w:numId w:val="1"/>
        </w:numPr>
        <w:ind w:left="138" w:right="41"/>
      </w:pPr>
      <w:r>
        <w:t>Prodávající se touto kupní smlouvou zavazuje, že bude kupujícímu postupně dodáv</w:t>
      </w:r>
      <w:r>
        <w:t xml:space="preserve">at </w:t>
      </w:r>
      <w:r>
        <w:t>diagnostické prostředky</w:t>
      </w:r>
      <w:r>
        <w:t>, kter</w:t>
      </w:r>
      <w:r>
        <w:t>é</w:t>
      </w:r>
      <w:r>
        <w:t xml:space="preserve"> </w:t>
      </w:r>
      <w:r>
        <w:t>jsou</w:t>
      </w:r>
      <w:r>
        <w:t xml:space="preserve"> </w:t>
      </w:r>
      <w:r>
        <w:t>předmětem koupě a jsou specifikovány v</w:t>
      </w:r>
      <w:r>
        <w:t xml:space="preserve"> </w:t>
      </w:r>
      <w:r>
        <w:t>předmětné příloze</w:t>
      </w:r>
      <w:r>
        <w:t xml:space="preserve"> </w:t>
      </w:r>
      <w:r>
        <w:t>této smlouvy (dále jen „</w:t>
      </w:r>
      <w:r>
        <w:rPr>
          <w:b/>
        </w:rPr>
        <w:t>zboží</w:t>
      </w:r>
      <w:r>
        <w:t>“), a umožní mu nabýt vlastnické právo k</w:t>
      </w:r>
      <w:r>
        <w:t xml:space="preserve"> </w:t>
      </w:r>
      <w:r>
        <w:t>nim</w:t>
      </w:r>
      <w:r>
        <w:t xml:space="preserve"> </w:t>
      </w:r>
      <w:r>
        <w:t>a kupující se zavazuje, že zboží převezme a zaplatí za ně prodávajícímu dohodnutou kupní cenu.</w:t>
      </w:r>
      <w:r>
        <w:t xml:space="preserve"> </w:t>
      </w:r>
    </w:p>
    <w:p w14:paraId="2CABD2B7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56BF93C4" w14:textId="77777777" w:rsidR="0036679C" w:rsidRDefault="006D66DB">
      <w:pPr>
        <w:numPr>
          <w:ilvl w:val="0"/>
          <w:numId w:val="1"/>
        </w:numPr>
        <w:ind w:left="138" w:right="41"/>
      </w:pPr>
      <w:r>
        <w:t>Zboží musí být nové, v</w:t>
      </w:r>
      <w:r>
        <w:t xml:space="preserve"> </w:t>
      </w:r>
      <w:r>
        <w:t>neporušených obalech, splňující podrobné požadavky uvedené v</w:t>
      </w:r>
      <w:r>
        <w:t xml:space="preserve"> </w:t>
      </w:r>
      <w:r>
        <w:t>technických specifikacích k</w:t>
      </w:r>
      <w:r>
        <w:t xml:space="preserve"> </w:t>
      </w:r>
      <w:r>
        <w:t>předmětné části veřejné zakázky.</w:t>
      </w:r>
      <w:r>
        <w:t xml:space="preserve"> </w:t>
      </w:r>
    </w:p>
    <w:p w14:paraId="0E94A584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779E6E39" w14:textId="77777777" w:rsidR="0036679C" w:rsidRDefault="006D66DB">
      <w:pPr>
        <w:numPr>
          <w:ilvl w:val="0"/>
          <w:numId w:val="1"/>
        </w:numPr>
        <w:ind w:left="138" w:right="41"/>
      </w:pPr>
      <w:r>
        <w:t>Součástí plnění jsou i související služby (např. ale nikoli pouze clo, expedice, balení, doprava ze skladu d</w:t>
      </w:r>
      <w:r>
        <w:t>odavatele do místa postupného dílčího plnění, administrativní služby spojené s</w:t>
      </w:r>
      <w:r>
        <w:t xml:space="preserve"> </w:t>
      </w:r>
      <w:r>
        <w:t>plněním apod.) při dodržení podmínek správné distribuční praxe, předání zboží prostého vad a nedodělků se zbývající dobou možného použití v</w:t>
      </w:r>
      <w:r>
        <w:t xml:space="preserve"> </w:t>
      </w:r>
      <w:r>
        <w:t>délce minimálně 70 % celkové expiračn</w:t>
      </w:r>
      <w:r>
        <w:t>í doby dodávaného zboží, nebude</w:t>
      </w:r>
      <w:r>
        <w:t>-</w:t>
      </w:r>
      <w:r>
        <w:t>li dohodnuto ve výjimečných případech jinak.</w:t>
      </w:r>
      <w:r>
        <w:t xml:space="preserve"> </w:t>
      </w:r>
    </w:p>
    <w:p w14:paraId="13F78688" w14:textId="77777777" w:rsidR="0036679C" w:rsidRDefault="006D66DB">
      <w:pPr>
        <w:spacing w:after="0" w:line="259" w:lineRule="auto"/>
        <w:ind w:left="141" w:right="0" w:firstLine="0"/>
        <w:jc w:val="left"/>
      </w:pPr>
      <w:r>
        <w:t xml:space="preserve"> </w:t>
      </w:r>
    </w:p>
    <w:p w14:paraId="19F0D2C5" w14:textId="77777777" w:rsidR="0036679C" w:rsidRDefault="006D66DB">
      <w:pPr>
        <w:spacing w:after="0" w:line="259" w:lineRule="auto"/>
        <w:ind w:left="454" w:right="360"/>
        <w:jc w:val="center"/>
      </w:pPr>
      <w:r>
        <w:rPr>
          <w:b/>
        </w:rPr>
        <w:t xml:space="preserve">II </w:t>
      </w:r>
    </w:p>
    <w:p w14:paraId="46D28E5B" w14:textId="77777777" w:rsidR="0036679C" w:rsidRDefault="006D66DB">
      <w:pPr>
        <w:spacing w:after="41" w:line="259" w:lineRule="auto"/>
        <w:ind w:left="454" w:right="359"/>
        <w:jc w:val="center"/>
      </w:pPr>
      <w:r>
        <w:rPr>
          <w:b/>
        </w:rPr>
        <w:t xml:space="preserve">Kupní cena a platební podmínky </w:t>
      </w:r>
    </w:p>
    <w:p w14:paraId="16AC1B24" w14:textId="77777777" w:rsidR="0036679C" w:rsidRDefault="006D66DB">
      <w:pPr>
        <w:numPr>
          <w:ilvl w:val="0"/>
          <w:numId w:val="2"/>
        </w:numPr>
        <w:ind w:right="41" w:hanging="708"/>
      </w:pPr>
      <w:r>
        <w:t>Zadavatel nebude poskytovat uchazeči žádné zálohy.</w:t>
      </w:r>
      <w:r>
        <w:t xml:space="preserve"> </w:t>
      </w:r>
    </w:p>
    <w:p w14:paraId="639A0500" w14:textId="77777777" w:rsidR="0036679C" w:rsidRDefault="006D66DB">
      <w:pPr>
        <w:spacing w:after="41" w:line="259" w:lineRule="auto"/>
        <w:ind w:left="141" w:right="0" w:firstLine="0"/>
        <w:jc w:val="left"/>
      </w:pPr>
      <w:r>
        <w:t xml:space="preserve"> </w:t>
      </w:r>
    </w:p>
    <w:p w14:paraId="26BEB16F" w14:textId="77777777" w:rsidR="0036679C" w:rsidRDefault="006D66DB">
      <w:pPr>
        <w:numPr>
          <w:ilvl w:val="0"/>
          <w:numId w:val="2"/>
        </w:numPr>
        <w:ind w:right="41" w:hanging="708"/>
      </w:pPr>
      <w:r>
        <w:t>Kupní cena zboží dle této smlouvy byla smluvními stranami sjednána ve výši uvedené v</w:t>
      </w:r>
      <w:r>
        <w:t xml:space="preserve"> </w:t>
      </w:r>
      <w:r>
        <w:t>p</w:t>
      </w:r>
      <w:r>
        <w:t>ředmětné příloze</w:t>
      </w:r>
      <w:r>
        <w:t xml:space="preserve"> </w:t>
      </w:r>
      <w:r>
        <w:t>této smlouvy.</w:t>
      </w:r>
      <w:r>
        <w:t xml:space="preserve"> </w:t>
      </w:r>
    </w:p>
    <w:p w14:paraId="7CA9C065" w14:textId="77777777" w:rsidR="0036679C" w:rsidRDefault="006D66DB">
      <w:pPr>
        <w:spacing w:after="41" w:line="259" w:lineRule="auto"/>
        <w:ind w:left="141" w:right="0" w:firstLine="0"/>
        <w:jc w:val="left"/>
      </w:pPr>
      <w:r>
        <w:t xml:space="preserve"> </w:t>
      </w:r>
    </w:p>
    <w:p w14:paraId="1746D110" w14:textId="77777777" w:rsidR="0036679C" w:rsidRDefault="006D66DB">
      <w:pPr>
        <w:numPr>
          <w:ilvl w:val="0"/>
          <w:numId w:val="2"/>
        </w:numPr>
        <w:ind w:right="41" w:hanging="708"/>
      </w:pPr>
      <w:r>
        <w:t>Celková cena plnění za dobu platnosti smlouvy (nabídková cena účastníka): 671.400,</w:t>
      </w:r>
      <w:r>
        <w:t xml:space="preserve">- </w:t>
      </w:r>
      <w:r>
        <w:t>Kč (slovy: šest set sedmdesát jedna tisíc čtyři sta korun českých) plus 21% DPH ve výši 140.994,</w:t>
      </w:r>
      <w:r>
        <w:t xml:space="preserve">- </w:t>
      </w:r>
      <w:r>
        <w:t xml:space="preserve">Kč (slovy: sto čtyřicet tisíc devět set </w:t>
      </w:r>
      <w:r>
        <w:t xml:space="preserve">devadesát čtyři korun českých), celková nabídková cena včetně DPH tak činí </w:t>
      </w:r>
      <w:proofErr w:type="gramStart"/>
      <w:r>
        <w:t>812.394,</w:t>
      </w:r>
      <w:r>
        <w:t>-</w:t>
      </w:r>
      <w:proofErr w:type="gramEnd"/>
      <w:r>
        <w:t xml:space="preserve"> </w:t>
      </w:r>
      <w:r>
        <w:t>Kč</w:t>
      </w:r>
      <w:r>
        <w:t xml:space="preserve"> </w:t>
      </w:r>
      <w:r>
        <w:t>(osm set dvanáct tisíc tři sta devadesát čtyři korun českých).</w:t>
      </w:r>
      <w:r>
        <w:t xml:space="preserve"> </w:t>
      </w:r>
    </w:p>
    <w:p w14:paraId="12CF1BB9" w14:textId="77777777" w:rsidR="0036679C" w:rsidRDefault="006D66DB">
      <w:pPr>
        <w:spacing w:after="41" w:line="259" w:lineRule="auto"/>
        <w:ind w:left="141" w:right="0" w:firstLine="0"/>
        <w:jc w:val="left"/>
      </w:pPr>
      <w:r>
        <w:t xml:space="preserve"> </w:t>
      </w:r>
    </w:p>
    <w:p w14:paraId="2E673192" w14:textId="77777777" w:rsidR="0036679C" w:rsidRDefault="006D66DB">
      <w:pPr>
        <w:numPr>
          <w:ilvl w:val="0"/>
          <w:numId w:val="2"/>
        </w:numPr>
        <w:ind w:right="41" w:hanging="708"/>
      </w:pPr>
      <w:r>
        <w:t>Předpokládaný objem plnění (v množství ani finančním objemu ve výši nabídky k této části veřejné zakáz</w:t>
      </w:r>
      <w:r>
        <w:t xml:space="preserve">ky) nezakládá pro zadavatele povinnost odebrat a uhradit plnění v celém rozsahu, hodnoty mají pouze limitní charakter. </w:t>
      </w:r>
      <w:r>
        <w:t xml:space="preserve"> </w:t>
      </w:r>
    </w:p>
    <w:p w14:paraId="47E56BB4" w14:textId="77777777" w:rsidR="0036679C" w:rsidRDefault="006D66DB">
      <w:pPr>
        <w:spacing w:after="39" w:line="259" w:lineRule="auto"/>
        <w:ind w:left="141" w:right="0" w:firstLine="0"/>
        <w:jc w:val="left"/>
      </w:pPr>
      <w:r>
        <w:t xml:space="preserve"> </w:t>
      </w:r>
    </w:p>
    <w:p w14:paraId="4761C509" w14:textId="77777777" w:rsidR="0036679C" w:rsidRDefault="006D66DB">
      <w:pPr>
        <w:numPr>
          <w:ilvl w:val="0"/>
          <w:numId w:val="2"/>
        </w:numPr>
        <w:ind w:right="41" w:hanging="708"/>
      </w:pPr>
      <w:r>
        <w:t xml:space="preserve">Cena za poskytované dílčí plnění bude prodávajícím fakturována nejpozději do 10 dnů </w:t>
      </w:r>
      <w:proofErr w:type="gramStart"/>
      <w:r>
        <w:t>od  DUZP</w:t>
      </w:r>
      <w:proofErr w:type="gramEnd"/>
      <w:r>
        <w:t>.</w:t>
      </w:r>
      <w:r>
        <w:t xml:space="preserve"> </w:t>
      </w:r>
    </w:p>
    <w:p w14:paraId="0CD0D2A6" w14:textId="77777777" w:rsidR="0036679C" w:rsidRDefault="006D66DB">
      <w:pPr>
        <w:spacing w:after="41" w:line="259" w:lineRule="auto"/>
        <w:ind w:left="141" w:right="0" w:firstLine="0"/>
        <w:jc w:val="left"/>
      </w:pPr>
      <w:r>
        <w:t xml:space="preserve"> </w:t>
      </w:r>
    </w:p>
    <w:p w14:paraId="422DDEC1" w14:textId="77777777" w:rsidR="0036679C" w:rsidRDefault="006D66DB">
      <w:pPr>
        <w:numPr>
          <w:ilvl w:val="0"/>
          <w:numId w:val="2"/>
        </w:numPr>
        <w:ind w:right="41" w:hanging="708"/>
      </w:pPr>
      <w:r>
        <w:t>Faktura bude zasílána elektronicky na adresu faktury@zuusti.cz.</w:t>
      </w:r>
      <w:r>
        <w:t xml:space="preserve"> </w:t>
      </w:r>
    </w:p>
    <w:p w14:paraId="74C771A5" w14:textId="77777777" w:rsidR="0036679C" w:rsidRDefault="006D66DB">
      <w:pPr>
        <w:spacing w:after="41" w:line="259" w:lineRule="auto"/>
        <w:ind w:left="141" w:right="0" w:firstLine="0"/>
        <w:jc w:val="left"/>
      </w:pPr>
      <w:r>
        <w:t xml:space="preserve"> </w:t>
      </w:r>
    </w:p>
    <w:p w14:paraId="225FB77C" w14:textId="77777777" w:rsidR="0036679C" w:rsidRDefault="006D66DB">
      <w:pPr>
        <w:numPr>
          <w:ilvl w:val="0"/>
          <w:numId w:val="2"/>
        </w:numPr>
        <w:ind w:right="41" w:hanging="708"/>
      </w:pPr>
      <w:r>
        <w:t>Splatnost faktury nesmí být kratší než 30 dní ode dne jejího prokazatelného doručení kupujíc</w:t>
      </w:r>
      <w:r>
        <w:t>ímu, a to bezhotovostně na účet dodavatele, který je</w:t>
      </w:r>
      <w:r>
        <w:t xml:space="preserve"> </w:t>
      </w:r>
      <w:r>
        <w:t>uveden ve smlouvě.</w:t>
      </w:r>
      <w:r>
        <w:t xml:space="preserve"> </w:t>
      </w:r>
    </w:p>
    <w:p w14:paraId="4D0EE34B" w14:textId="77777777" w:rsidR="0036679C" w:rsidRDefault="006D66DB">
      <w:pPr>
        <w:spacing w:after="41" w:line="259" w:lineRule="auto"/>
        <w:ind w:left="141" w:right="0" w:firstLine="0"/>
        <w:jc w:val="left"/>
      </w:pPr>
      <w:r>
        <w:lastRenderedPageBreak/>
        <w:t xml:space="preserve"> </w:t>
      </w:r>
    </w:p>
    <w:p w14:paraId="4F328684" w14:textId="77777777" w:rsidR="0036679C" w:rsidRDefault="006D66DB">
      <w:pPr>
        <w:numPr>
          <w:ilvl w:val="0"/>
          <w:numId w:val="2"/>
        </w:numPr>
        <w:ind w:right="41" w:hanging="708"/>
      </w:pPr>
      <w:r>
        <w:t>V případě, že daňový doklad nebude mít odpovídající náležitosti, má kupující právo zaslat jej do lhůty splatnosti zpět prodávajícímu k doplnění, aniž se tak dostane do prodlení se splatností. Důvody vrácení sdělí kupující prodávajícímu písemně, zároveň s v</w:t>
      </w:r>
      <w:r>
        <w:t>ráceným daňovým dokladem. V závislosti na povaze závady je prodávající povinen daňový doklad včetně jeho příloh opravit nebo vyhotovit nový. Lhůta splatnosti počíná běžet znovu od opětovného zaslání náležitě doplněného či opraveného dokladu.</w:t>
      </w:r>
      <w:r>
        <w:t xml:space="preserve"> </w:t>
      </w:r>
    </w:p>
    <w:p w14:paraId="605F60B9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460E9331" w14:textId="77777777" w:rsidR="0036679C" w:rsidRDefault="006D66DB">
      <w:pPr>
        <w:numPr>
          <w:ilvl w:val="0"/>
          <w:numId w:val="2"/>
        </w:numPr>
        <w:ind w:right="41" w:hanging="708"/>
      </w:pPr>
      <w:r>
        <w:t>Faktura bud</w:t>
      </w:r>
      <w:r>
        <w:t>e obsahovat náležitosti daňového dokladu dle zákona č. 235/2004 Sb., o dani z</w:t>
      </w:r>
      <w:r>
        <w:t xml:space="preserve"> </w:t>
      </w:r>
      <w:r>
        <w:t>přidané hodnoty, v</w:t>
      </w:r>
      <w:r>
        <w:t xml:space="preserve"> </w:t>
      </w:r>
      <w:r>
        <w:t xml:space="preserve">platném znění. </w:t>
      </w:r>
      <w:r>
        <w:t xml:space="preserve"> </w:t>
      </w:r>
    </w:p>
    <w:p w14:paraId="38318D8D" w14:textId="77777777" w:rsidR="0036679C" w:rsidRDefault="006D66DB">
      <w:pPr>
        <w:spacing w:after="41" w:line="259" w:lineRule="auto"/>
        <w:ind w:left="141" w:right="0" w:firstLine="0"/>
        <w:jc w:val="left"/>
      </w:pPr>
      <w:r>
        <w:t xml:space="preserve"> </w:t>
      </w:r>
    </w:p>
    <w:p w14:paraId="60103063" w14:textId="77777777" w:rsidR="0036679C" w:rsidRDefault="006D66DB">
      <w:pPr>
        <w:numPr>
          <w:ilvl w:val="0"/>
          <w:numId w:val="2"/>
        </w:numPr>
        <w:ind w:right="41" w:hanging="708"/>
      </w:pPr>
      <w:r>
        <w:t>Smluvní strany sjednávají, že datem</w:t>
      </w:r>
      <w:r>
        <w:t xml:space="preserve"> </w:t>
      </w:r>
      <w:r>
        <w:t>uskutečnění zdanitelného plnění (DOZP) pro poskytnutá dílčí plnění v souladu se zákonem o dani z přidané</w:t>
      </w:r>
      <w:r>
        <w:t xml:space="preserve"> hodnoty</w:t>
      </w:r>
      <w:r>
        <w:t xml:space="preserve"> </w:t>
      </w:r>
      <w:r>
        <w:t>je den vyskladnění zboží u dodavatele.</w:t>
      </w:r>
      <w:r>
        <w:t xml:space="preserve"> </w:t>
      </w:r>
    </w:p>
    <w:p w14:paraId="681D41D2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4572F8CB" w14:textId="77777777" w:rsidR="0036679C" w:rsidRDefault="006D66DB">
      <w:pPr>
        <w:numPr>
          <w:ilvl w:val="0"/>
          <w:numId w:val="2"/>
        </w:numPr>
        <w:ind w:right="41" w:hanging="708"/>
      </w:pPr>
      <w:r>
        <w:t>Vzhledem k čtyřleté době poskytování plnění</w:t>
      </w:r>
      <w:r>
        <w:t xml:space="preserve"> </w:t>
      </w:r>
      <w:r>
        <w:t>se sjednává</w:t>
      </w:r>
      <w:r>
        <w:t xml:space="preserve"> </w:t>
      </w:r>
      <w:r>
        <w:t xml:space="preserve">právo zadavatele, uplatnit nárok na snížení jednotkových cen stanovených v nabídce, pokud by dodavatel v průběhu plnění veřejné zakázky snížil běžně </w:t>
      </w:r>
      <w:r>
        <w:t xml:space="preserve">nabízené ceny (ceníkové položky účastníka) pod úroveň nabídnutých jednotkových cen, a to minimálně na úroveň nových ceníkových položek.  </w:t>
      </w:r>
      <w:r>
        <w:t xml:space="preserve"> </w:t>
      </w:r>
    </w:p>
    <w:p w14:paraId="66BF65FA" w14:textId="77777777" w:rsidR="0036679C" w:rsidRDefault="006D66DB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57B806AE" w14:textId="77777777" w:rsidR="0036679C" w:rsidRDefault="006D66DB">
      <w:pPr>
        <w:spacing w:after="0" w:line="259" w:lineRule="auto"/>
        <w:ind w:left="454" w:right="359"/>
        <w:jc w:val="center"/>
      </w:pPr>
      <w:r>
        <w:rPr>
          <w:b/>
        </w:rPr>
        <w:t xml:space="preserve">III </w:t>
      </w:r>
    </w:p>
    <w:p w14:paraId="49E51967" w14:textId="77777777" w:rsidR="0036679C" w:rsidRDefault="006D66DB">
      <w:pPr>
        <w:pStyle w:val="Nadpis1"/>
        <w:ind w:left="98"/>
      </w:pPr>
      <w:r>
        <w:t>Dodání zboží</w:t>
      </w:r>
      <w:r>
        <w:t xml:space="preserve"> </w:t>
      </w:r>
    </w:p>
    <w:p w14:paraId="750C563D" w14:textId="77777777" w:rsidR="0036679C" w:rsidRDefault="006D66DB">
      <w:pPr>
        <w:numPr>
          <w:ilvl w:val="0"/>
          <w:numId w:val="3"/>
        </w:numPr>
        <w:ind w:right="41" w:hanging="708"/>
      </w:pPr>
      <w:r>
        <w:t>Plnění dle této smlouvy bude postupné, na základě dílčích žádanek, v</w:t>
      </w:r>
      <w:r>
        <w:t xml:space="preserve"> </w:t>
      </w:r>
      <w:r>
        <w:t>nichž bude uvedeno vedle přesné specifikace požadovaného zboží i požadované množství a místo dodání. Dílčí žádanky budou vystavovány podle aktuální potřeby jednotlivých pracovišť (míst pl</w:t>
      </w:r>
      <w:r>
        <w:t>nění) zadavatele. Souhrn dílčích žádanek nepřesáhne, nebude</w:t>
      </w:r>
      <w:r>
        <w:t>-</w:t>
      </w:r>
      <w:r>
        <w:t>li v</w:t>
      </w:r>
      <w:r>
        <w:t xml:space="preserve"> </w:t>
      </w:r>
      <w:r>
        <w:t>souladu s</w:t>
      </w:r>
      <w:r>
        <w:t xml:space="preserve"> </w:t>
      </w:r>
      <w:r>
        <w:t>pravidly platnými pro zadávání veřejných zakázek dohodnuto jinak, celkový objem dodávek z</w:t>
      </w:r>
      <w:r>
        <w:t xml:space="preserve"> </w:t>
      </w:r>
      <w:r>
        <w:t xml:space="preserve">nabídky účastníka </w:t>
      </w:r>
      <w:r>
        <w:t xml:space="preserve">– </w:t>
      </w:r>
      <w:r>
        <w:t>prodávajícího.</w:t>
      </w:r>
      <w:r>
        <w:t xml:space="preserve"> </w:t>
      </w:r>
    </w:p>
    <w:p w14:paraId="7555497C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63F10677" w14:textId="77777777" w:rsidR="0036679C" w:rsidRDefault="006D66DB">
      <w:pPr>
        <w:numPr>
          <w:ilvl w:val="0"/>
          <w:numId w:val="3"/>
        </w:numPr>
        <w:ind w:right="41" w:hanging="708"/>
      </w:pPr>
      <w:r>
        <w:t>Dílčí plnění bude na základě</w:t>
      </w:r>
      <w:r>
        <w:t xml:space="preserve"> </w:t>
      </w:r>
      <w:r>
        <w:t xml:space="preserve">prokazatelného doručení </w:t>
      </w:r>
      <w:r>
        <w:t>technicky jasné dílčí žádanky dodavateli.</w:t>
      </w:r>
      <w:r>
        <w:t xml:space="preserve"> </w:t>
      </w:r>
    </w:p>
    <w:p w14:paraId="3091FD24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6BA915DB" w14:textId="77777777" w:rsidR="0036679C" w:rsidRDefault="006D66DB">
      <w:pPr>
        <w:numPr>
          <w:ilvl w:val="0"/>
          <w:numId w:val="3"/>
        </w:numPr>
        <w:ind w:right="41" w:hanging="708"/>
      </w:pPr>
      <w:r>
        <w:t>Dílčí plnění bude kupujícímu dodáno ve lhůtě 10 pracovních dnů od obdržení dílčí žádanky.</w:t>
      </w:r>
      <w:r>
        <w:t xml:space="preserve"> </w:t>
      </w:r>
    </w:p>
    <w:p w14:paraId="50B87336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4F28B3CF" w14:textId="77777777" w:rsidR="0036679C" w:rsidRDefault="006D66DB">
      <w:pPr>
        <w:numPr>
          <w:ilvl w:val="0"/>
          <w:numId w:val="3"/>
        </w:numPr>
        <w:ind w:right="41" w:hanging="708"/>
      </w:pPr>
      <w:r>
        <w:t>Hodnota dílčího plnění nebude (pro každé z</w:t>
      </w:r>
      <w:r>
        <w:t xml:space="preserve"> </w:t>
      </w:r>
      <w:r>
        <w:t xml:space="preserve">doručovacích míst) nižší než </w:t>
      </w:r>
      <w:proofErr w:type="gramStart"/>
      <w:r>
        <w:t>2.000,</w:t>
      </w:r>
      <w:r>
        <w:t>-</w:t>
      </w:r>
      <w:proofErr w:type="gramEnd"/>
      <w:r>
        <w:t xml:space="preserve"> </w:t>
      </w:r>
      <w:r>
        <w:t>Kč (bez DPH), nebude</w:t>
      </w:r>
      <w:r>
        <w:t>-</w:t>
      </w:r>
      <w:r>
        <w:t>li ve výjimečných</w:t>
      </w:r>
      <w:r>
        <w:t xml:space="preserve"> a odůvodněných případech dohodnuto jinak.</w:t>
      </w:r>
      <w:r>
        <w:t xml:space="preserve"> </w:t>
      </w:r>
    </w:p>
    <w:p w14:paraId="6786FA31" w14:textId="77777777" w:rsidR="0036679C" w:rsidRDefault="006D66DB">
      <w:pPr>
        <w:spacing w:after="39" w:line="259" w:lineRule="auto"/>
        <w:ind w:left="142" w:right="0" w:firstLine="0"/>
        <w:jc w:val="left"/>
      </w:pPr>
      <w:r>
        <w:t xml:space="preserve"> </w:t>
      </w:r>
    </w:p>
    <w:p w14:paraId="40391C84" w14:textId="1B6130E1" w:rsidR="0036679C" w:rsidRDefault="006D66DB">
      <w:pPr>
        <w:numPr>
          <w:ilvl w:val="0"/>
          <w:numId w:val="3"/>
        </w:numPr>
        <w:ind w:right="41" w:hanging="708"/>
      </w:pPr>
      <w:r>
        <w:t>Dílčí žádanky umožní prodávající předávat elektronicky, prostřednictvím emailové adresy ……………</w:t>
      </w:r>
      <w:proofErr w:type="gramStart"/>
      <w:r>
        <w:t>…….</w:t>
      </w:r>
      <w:proofErr w:type="gramEnd"/>
      <w:r>
        <w:t>.</w:t>
      </w:r>
      <w:r>
        <w:t>; pro případ nezbytné potřeby akutního dodání uvádí prodávající možnost telefonické komunikace prostřed</w:t>
      </w:r>
      <w:r>
        <w:t>nictvím tel. čísla +………………………………</w:t>
      </w:r>
      <w:bookmarkStart w:id="0" w:name="_GoBack"/>
      <w:bookmarkEnd w:id="0"/>
      <w:r>
        <w:t>.</w:t>
      </w:r>
      <w:r>
        <w:t xml:space="preserve"> </w:t>
      </w:r>
    </w:p>
    <w:p w14:paraId="6A07D150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48F5D057" w14:textId="77777777" w:rsidR="0036679C" w:rsidRDefault="006D66DB">
      <w:pPr>
        <w:numPr>
          <w:ilvl w:val="0"/>
          <w:numId w:val="3"/>
        </w:numPr>
        <w:spacing w:after="52"/>
        <w:ind w:right="41" w:hanging="708"/>
      </w:pPr>
      <w:r>
        <w:t>Dodávané zboží bude splňovat po celou dobu plnění veřejné zakázky především, ale nikoli pouze, tyto podmínky, nebude</w:t>
      </w:r>
      <w:r>
        <w:t>-</w:t>
      </w:r>
      <w:r>
        <w:t>li výjimečně dohodnuto jinak:</w:t>
      </w:r>
      <w:r>
        <w:t xml:space="preserve"> </w:t>
      </w:r>
    </w:p>
    <w:p w14:paraId="19467120" w14:textId="77777777" w:rsidR="0036679C" w:rsidRDefault="006D66DB">
      <w:pPr>
        <w:numPr>
          <w:ilvl w:val="1"/>
          <w:numId w:val="3"/>
        </w:numPr>
        <w:spacing w:after="52"/>
        <w:ind w:right="41" w:hanging="360"/>
      </w:pPr>
      <w:r>
        <w:t xml:space="preserve">dodávané zboží musí splňovat kvalitativní požadavky uvedené ve specifikacích </w:t>
      </w:r>
      <w:r>
        <w:t xml:space="preserve">– </w:t>
      </w:r>
      <w:r>
        <w:t>v</w:t>
      </w:r>
      <w:r>
        <w:t xml:space="preserve"> </w:t>
      </w:r>
      <w:r>
        <w:t>příloze č. 2 této smlouvy,</w:t>
      </w:r>
      <w:r>
        <w:t xml:space="preserve"> </w:t>
      </w:r>
    </w:p>
    <w:p w14:paraId="3E6E9218" w14:textId="77777777" w:rsidR="0036679C" w:rsidRDefault="006D66DB">
      <w:pPr>
        <w:numPr>
          <w:ilvl w:val="1"/>
          <w:numId w:val="3"/>
        </w:numPr>
        <w:spacing w:after="63"/>
        <w:ind w:right="41" w:hanging="360"/>
      </w:pPr>
      <w:r>
        <w:t>zboží musí být dodáváno v</w:t>
      </w:r>
      <w:r>
        <w:t xml:space="preserve"> </w:t>
      </w:r>
      <w:r>
        <w:t>ochranných obalech s</w:t>
      </w:r>
      <w:r>
        <w:t xml:space="preserve"> </w:t>
      </w:r>
      <w:r>
        <w:t>řádným označením,</w:t>
      </w:r>
      <w:r>
        <w:t xml:space="preserve"> </w:t>
      </w:r>
    </w:p>
    <w:p w14:paraId="32E788C6" w14:textId="77777777" w:rsidR="0036679C" w:rsidRDefault="006D66DB">
      <w:pPr>
        <w:numPr>
          <w:ilvl w:val="1"/>
          <w:numId w:val="3"/>
        </w:numPr>
        <w:spacing w:after="61" w:line="241" w:lineRule="auto"/>
        <w:ind w:right="41" w:hanging="360"/>
      </w:pPr>
      <w:r>
        <w:t>každá dílčí dodávka bude doplněna dodacím listem v</w:t>
      </w:r>
      <w:r>
        <w:t xml:space="preserve"> </w:t>
      </w:r>
      <w:r>
        <w:t>elektronické podobě zaslaným osobou uvedenou v</w:t>
      </w:r>
      <w:r>
        <w:t xml:space="preserve"> </w:t>
      </w:r>
      <w:r>
        <w:t>dílčí žádance a zároveň v</w:t>
      </w:r>
      <w:r>
        <w:t xml:space="preserve"> </w:t>
      </w:r>
      <w:r>
        <w:t>listinné podobě jako součást příslušné dodávky,</w:t>
      </w:r>
      <w:r>
        <w:t xml:space="preserve"> </w:t>
      </w:r>
    </w:p>
    <w:p w14:paraId="7776D68A" w14:textId="77777777" w:rsidR="0036679C" w:rsidRDefault="006D66DB">
      <w:pPr>
        <w:numPr>
          <w:ilvl w:val="1"/>
          <w:numId w:val="3"/>
        </w:numPr>
        <w:spacing w:after="52"/>
        <w:ind w:right="41" w:hanging="360"/>
      </w:pPr>
      <w:r>
        <w:lastRenderedPageBreak/>
        <w:t xml:space="preserve">každá dílčí dodávka bude doplněna o protokoly o kontrole kvality </w:t>
      </w:r>
      <w:r>
        <w:t xml:space="preserve">– </w:t>
      </w:r>
      <w:r>
        <w:t>tyto dokumenty l</w:t>
      </w:r>
      <w:r>
        <w:t>ze nahradit odkazem na dokumenty vzdáleně a neomezeně přístupné,</w:t>
      </w:r>
      <w:r>
        <w:t xml:space="preserve"> </w:t>
      </w:r>
    </w:p>
    <w:p w14:paraId="25115855" w14:textId="77777777" w:rsidR="0036679C" w:rsidRDefault="006D66DB">
      <w:pPr>
        <w:numPr>
          <w:ilvl w:val="1"/>
          <w:numId w:val="3"/>
        </w:numPr>
        <w:spacing w:after="52"/>
        <w:ind w:right="41" w:hanging="360"/>
      </w:pPr>
      <w:r>
        <w:t>každá dílčí dodávka</w:t>
      </w:r>
      <w:r>
        <w:t xml:space="preserve"> </w:t>
      </w:r>
      <w:r>
        <w:t>dokumentů in vitro bude doplněna o odkaz na registraci v</w:t>
      </w:r>
      <w:r>
        <w:t xml:space="preserve"> </w:t>
      </w:r>
      <w:r>
        <w:t>národním informačním systému zdravotnických prostředků,</w:t>
      </w:r>
      <w:r>
        <w:t xml:space="preserve"> </w:t>
      </w:r>
    </w:p>
    <w:p w14:paraId="25767372" w14:textId="77777777" w:rsidR="0036679C" w:rsidRDefault="006D66DB">
      <w:pPr>
        <w:numPr>
          <w:ilvl w:val="1"/>
          <w:numId w:val="3"/>
        </w:numPr>
        <w:ind w:right="41" w:hanging="360"/>
      </w:pPr>
      <w:r>
        <w:t xml:space="preserve">k </w:t>
      </w:r>
      <w:r>
        <w:t>prokázání shody dodávaného diagnostika bude každé z</w:t>
      </w:r>
      <w:r>
        <w:t xml:space="preserve"> </w:t>
      </w:r>
      <w:r>
        <w:t>ni</w:t>
      </w:r>
      <w:r>
        <w:t>ch opatřeno značkou „CE“.</w:t>
      </w:r>
      <w:r>
        <w:t xml:space="preserve"> </w:t>
      </w:r>
    </w:p>
    <w:p w14:paraId="4C37A997" w14:textId="77777777" w:rsidR="0036679C" w:rsidRDefault="006D66DB">
      <w:pPr>
        <w:spacing w:after="39" w:line="259" w:lineRule="auto"/>
        <w:ind w:left="1582" w:right="0" w:firstLine="0"/>
        <w:jc w:val="left"/>
      </w:pPr>
      <w:r>
        <w:t xml:space="preserve"> </w:t>
      </w:r>
    </w:p>
    <w:p w14:paraId="0E71E325" w14:textId="77777777" w:rsidR="0036679C" w:rsidRDefault="006D66DB">
      <w:pPr>
        <w:numPr>
          <w:ilvl w:val="0"/>
          <w:numId w:val="3"/>
        </w:numPr>
        <w:ind w:right="41" w:hanging="708"/>
      </w:pPr>
      <w:r>
        <w:t>Zadavatel je oprávněn kontrolovat dodržení dodacích podmínek u každého dílčího plnění. Nedodržení stanovených podmínek povede k</w:t>
      </w:r>
      <w:r>
        <w:t xml:space="preserve"> </w:t>
      </w:r>
      <w:r>
        <w:t>odmítnutí dílčího plnění.</w:t>
      </w:r>
      <w:r>
        <w:t xml:space="preserve"> </w:t>
      </w:r>
    </w:p>
    <w:p w14:paraId="4223BB63" w14:textId="77777777" w:rsidR="0036679C" w:rsidRDefault="006D66DB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6FD8A099" w14:textId="77777777" w:rsidR="0036679C" w:rsidRDefault="006D66DB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64961367" w14:textId="77777777" w:rsidR="0036679C" w:rsidRDefault="006D66DB">
      <w:pPr>
        <w:numPr>
          <w:ilvl w:val="0"/>
          <w:numId w:val="3"/>
        </w:numPr>
        <w:ind w:right="41" w:hanging="708"/>
      </w:pPr>
      <w:r>
        <w:t>Dodání zboží</w:t>
      </w:r>
      <w:r>
        <w:t xml:space="preserve"> </w:t>
      </w:r>
      <w:r>
        <w:t>a jeho uvedení do provozu</w:t>
      </w:r>
      <w:r>
        <w:t xml:space="preserve"> </w:t>
      </w:r>
      <w:r>
        <w:t>potvrdí smluvní strany podpis</w:t>
      </w:r>
      <w:r>
        <w:t>em předávacího protokolu, který bude vyhotoven ve 2</w:t>
      </w:r>
      <w:r>
        <w:t xml:space="preserve"> </w:t>
      </w:r>
      <w:r>
        <w:t>stejnopisech s</w:t>
      </w:r>
      <w:r>
        <w:t xml:space="preserve"> </w:t>
      </w:r>
      <w:r>
        <w:t xml:space="preserve">platností originálu. </w:t>
      </w:r>
      <w:r>
        <w:t xml:space="preserve"> </w:t>
      </w:r>
    </w:p>
    <w:p w14:paraId="6C734024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1C708A3C" w14:textId="77777777" w:rsidR="0036679C" w:rsidRDefault="006D66DB">
      <w:pPr>
        <w:numPr>
          <w:ilvl w:val="0"/>
          <w:numId w:val="3"/>
        </w:numPr>
        <w:ind w:right="41" w:hanging="708"/>
      </w:pPr>
      <w:r>
        <w:t>Místem dodání zboží (místem</w:t>
      </w:r>
      <w:r>
        <w:t xml:space="preserve"> </w:t>
      </w:r>
      <w:r>
        <w:t>plnění) je</w:t>
      </w:r>
      <w:r>
        <w:t xml:space="preserve"> </w:t>
      </w:r>
      <w:r>
        <w:t>(zadavatel je oprávněn upravit místa plnění podle své aktuální potřeby):</w:t>
      </w:r>
      <w:r>
        <w:t xml:space="preserve"> </w:t>
      </w:r>
    </w:p>
    <w:p w14:paraId="2473DBAB" w14:textId="77777777" w:rsidR="0036679C" w:rsidRDefault="006D66DB">
      <w:pPr>
        <w:spacing w:after="0" w:line="259" w:lineRule="auto"/>
        <w:ind w:left="0" w:right="0" w:firstLine="0"/>
        <w:jc w:val="right"/>
      </w:pPr>
      <w:r>
        <w:rPr>
          <w:rFonts w:ascii="Arial" w:eastAsia="Arial" w:hAnsi="Arial" w:cs="Arial"/>
          <w:i/>
          <w:sz w:val="20"/>
        </w:rPr>
        <w:t xml:space="preserve"> </w:t>
      </w:r>
    </w:p>
    <w:tbl>
      <w:tblPr>
        <w:tblStyle w:val="TableGrid"/>
        <w:tblW w:w="9761" w:type="dxa"/>
        <w:tblInd w:w="-203" w:type="dxa"/>
        <w:tblCellMar>
          <w:top w:w="0" w:type="dxa"/>
          <w:left w:w="68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950"/>
        <w:gridCol w:w="3030"/>
        <w:gridCol w:w="2285"/>
        <w:gridCol w:w="3496"/>
      </w:tblGrid>
      <w:tr w:rsidR="0036679C" w14:paraId="380F3A55" w14:textId="77777777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BBEE79F" w14:textId="77777777" w:rsidR="0036679C" w:rsidRDefault="006D66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color w:val="538DD3"/>
                <w:sz w:val="20"/>
              </w:rPr>
              <w:t xml:space="preserve">lokalita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5C87097" w14:textId="77777777" w:rsidR="0036679C" w:rsidRDefault="006D66D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i/>
                <w:color w:val="538DD3"/>
                <w:sz w:val="20"/>
              </w:rPr>
              <w:t xml:space="preserve">pracoviště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59422AD" w14:textId="77777777" w:rsidR="0036679C" w:rsidRDefault="006D66D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i/>
                <w:color w:val="538DD3"/>
                <w:sz w:val="20"/>
              </w:rPr>
              <w:t xml:space="preserve">ulice, číslo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F032E2C" w14:textId="77777777" w:rsidR="0036679C" w:rsidRDefault="006D66D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i/>
                <w:color w:val="538DD3"/>
                <w:sz w:val="20"/>
              </w:rPr>
              <w:t xml:space="preserve">město </w:t>
            </w:r>
          </w:p>
        </w:tc>
      </w:tr>
      <w:tr w:rsidR="0036679C" w14:paraId="70F903F8" w14:textId="77777777">
        <w:trPr>
          <w:trHeight w:val="472"/>
        </w:trPr>
        <w:tc>
          <w:tcPr>
            <w:tcW w:w="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3D9B88" w14:textId="77777777" w:rsidR="0036679C" w:rsidRDefault="006D66D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74 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8347" w14:textId="77777777" w:rsidR="0036679C" w:rsidRDefault="006D66DB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Klinické laboratoře Centra imunologie a mikrobiologie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1097" w14:textId="77777777" w:rsidR="0036679C" w:rsidRDefault="006D66DB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rFonts w:ascii="Arial" w:eastAsia="Arial" w:hAnsi="Arial" w:cs="Arial"/>
                <w:sz w:val="20"/>
              </w:rPr>
              <w:t>Dittrichova  17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22383" w14:textId="77777777" w:rsidR="0036679C" w:rsidRDefault="006D66D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128 01 Praha 2 </w:t>
            </w:r>
          </w:p>
        </w:tc>
      </w:tr>
      <w:tr w:rsidR="0036679C" w14:paraId="58CB0354" w14:textId="77777777">
        <w:trPr>
          <w:trHeight w:val="468"/>
        </w:trPr>
        <w:tc>
          <w:tcPr>
            <w:tcW w:w="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1A47D1" w14:textId="77777777" w:rsidR="0036679C" w:rsidRDefault="006D66D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E72E" w14:textId="77777777" w:rsidR="0036679C" w:rsidRDefault="003667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EA9C6" w14:textId="77777777" w:rsidR="0036679C" w:rsidRDefault="006D66D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Na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Kabátě  229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F782" w14:textId="77777777" w:rsidR="0036679C" w:rsidRDefault="006D66D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400 11 Ústí nad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Labem - Bukov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6679C" w14:paraId="010F1FDB" w14:textId="77777777">
        <w:trPr>
          <w:trHeight w:val="473"/>
        </w:trPr>
        <w:tc>
          <w:tcPr>
            <w:tcW w:w="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4B83D4" w14:textId="77777777" w:rsidR="0036679C" w:rsidRDefault="006D66D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84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0D65D0" w14:textId="77777777" w:rsidR="0036679C" w:rsidRDefault="006D66DB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Arial" w:eastAsia="Arial" w:hAnsi="Arial" w:cs="Arial"/>
                <w:b/>
                <w:i/>
                <w:color w:val="0000FF"/>
                <w:sz w:val="20"/>
              </w:rPr>
              <w:t xml:space="preserve">Oddělení MTZ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07918A" w14:textId="77777777" w:rsidR="0036679C" w:rsidRDefault="006D66D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b/>
                <w:i/>
                <w:color w:val="0000FF"/>
                <w:sz w:val="20"/>
              </w:rPr>
              <w:t xml:space="preserve">pro obchodní jednání 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671EB9" w14:textId="77777777" w:rsidR="0036679C" w:rsidRDefault="006D66D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400 01 Ústí nad Labem, Moskevská </w:t>
            </w:r>
          </w:p>
          <w:p w14:paraId="48124C8A" w14:textId="77777777" w:rsidR="0036679C" w:rsidRDefault="006D66D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1531/15 </w:t>
            </w:r>
          </w:p>
        </w:tc>
      </w:tr>
    </w:tbl>
    <w:p w14:paraId="3C45C03E" w14:textId="77777777" w:rsidR="0036679C" w:rsidRDefault="006D66DB">
      <w:pPr>
        <w:spacing w:after="0" w:line="259" w:lineRule="auto"/>
        <w:ind w:left="136" w:right="0" w:firstLine="0"/>
        <w:jc w:val="center"/>
      </w:pPr>
      <w:r>
        <w:t xml:space="preserve"> </w:t>
      </w:r>
    </w:p>
    <w:p w14:paraId="5AECE064" w14:textId="77777777" w:rsidR="0036679C" w:rsidRDefault="006D66DB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4C6947C6" w14:textId="77777777" w:rsidR="0036679C" w:rsidRDefault="006D66DB">
      <w:pPr>
        <w:spacing w:after="0" w:line="259" w:lineRule="auto"/>
        <w:ind w:left="454" w:right="359"/>
        <w:jc w:val="center"/>
      </w:pPr>
      <w:r>
        <w:rPr>
          <w:b/>
        </w:rPr>
        <w:t xml:space="preserve">IV </w:t>
      </w:r>
    </w:p>
    <w:p w14:paraId="7DF362E6" w14:textId="77777777" w:rsidR="0036679C" w:rsidRDefault="006D66DB">
      <w:pPr>
        <w:spacing w:after="41" w:line="259" w:lineRule="auto"/>
        <w:ind w:left="454" w:right="0"/>
        <w:jc w:val="center"/>
      </w:pPr>
      <w:r>
        <w:rPr>
          <w:b/>
        </w:rPr>
        <w:t xml:space="preserve">Záruka za jakost a vady plnění </w:t>
      </w:r>
    </w:p>
    <w:p w14:paraId="7D2607F0" w14:textId="77777777" w:rsidR="0036679C" w:rsidRDefault="006D66DB">
      <w:pPr>
        <w:numPr>
          <w:ilvl w:val="0"/>
          <w:numId w:val="4"/>
        </w:numPr>
        <w:spacing w:after="52"/>
        <w:ind w:right="41" w:hanging="708"/>
      </w:pPr>
      <w:r>
        <w:t>Na dodané zboží poskytne prodávající záruku v</w:t>
      </w:r>
      <w:r>
        <w:t xml:space="preserve"> </w:t>
      </w:r>
      <w:r>
        <w:t>trvání ne méně než zbývající doba expirace v</w:t>
      </w:r>
      <w:r>
        <w:t xml:space="preserve"> </w:t>
      </w:r>
      <w:proofErr w:type="spellStart"/>
      <w:r>
        <w:t>okamžku</w:t>
      </w:r>
      <w:proofErr w:type="spellEnd"/>
      <w:r>
        <w:t xml:space="preserve"> dílčího</w:t>
      </w:r>
      <w:r>
        <w:t xml:space="preserve"> </w:t>
      </w:r>
      <w:r>
        <w:t>plnění.</w:t>
      </w:r>
      <w:r>
        <w:t xml:space="preserve"> </w:t>
      </w:r>
    </w:p>
    <w:p w14:paraId="370B8217" w14:textId="77777777" w:rsidR="0036679C" w:rsidRDefault="006D66DB">
      <w:pPr>
        <w:numPr>
          <w:ilvl w:val="0"/>
          <w:numId w:val="4"/>
        </w:numPr>
        <w:ind w:right="41" w:hanging="708"/>
      </w:pPr>
      <w:r>
        <w:t>V</w:t>
      </w:r>
      <w:r>
        <w:t xml:space="preserve"> </w:t>
      </w:r>
      <w:r>
        <w:t>případě vadného plnění se zjevnými vadami zadavatel nepřevezme plnění.</w:t>
      </w:r>
      <w:r>
        <w:t xml:space="preserve"> </w:t>
      </w:r>
    </w:p>
    <w:p w14:paraId="4F8A8897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10A6F9B3" w14:textId="77777777" w:rsidR="0036679C" w:rsidRDefault="006D66DB">
      <w:pPr>
        <w:numPr>
          <w:ilvl w:val="0"/>
          <w:numId w:val="4"/>
        </w:numPr>
        <w:ind w:right="41" w:hanging="708"/>
      </w:pPr>
      <w:r>
        <w:t>V</w:t>
      </w:r>
      <w:r>
        <w:t xml:space="preserve"> </w:t>
      </w:r>
      <w:r>
        <w:t>případě plnění se skrytými vad</w:t>
      </w:r>
      <w:r>
        <w:t>ami zadavatel bude reklamovat vadu bez zbytečného odkladu od okamžiku, kdy se o vadě dozví.</w:t>
      </w:r>
      <w:r>
        <w:t xml:space="preserve"> </w:t>
      </w:r>
    </w:p>
    <w:p w14:paraId="70C610A1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7978F110" w14:textId="77777777" w:rsidR="0036679C" w:rsidRDefault="006D66DB">
      <w:pPr>
        <w:numPr>
          <w:ilvl w:val="0"/>
          <w:numId w:val="4"/>
        </w:numPr>
        <w:ind w:right="41" w:hanging="708"/>
      </w:pPr>
      <w:r>
        <w:t>Dodavatel odstraní vadu (zjevnou i skrytou) ve lhůtě 2 pracovních dnů od uplatnění reklamace dílčího plnění.</w:t>
      </w:r>
      <w:r>
        <w:t xml:space="preserve"> </w:t>
      </w:r>
    </w:p>
    <w:p w14:paraId="2FC4E754" w14:textId="77777777" w:rsidR="0036679C" w:rsidRDefault="006D66DB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2FEB4660" w14:textId="77777777" w:rsidR="0036679C" w:rsidRDefault="006D66DB">
      <w:pPr>
        <w:spacing w:after="0" w:line="259" w:lineRule="auto"/>
        <w:ind w:left="454" w:right="355"/>
        <w:jc w:val="center"/>
      </w:pPr>
      <w:r>
        <w:rPr>
          <w:b/>
        </w:rPr>
        <w:t xml:space="preserve">V </w:t>
      </w:r>
    </w:p>
    <w:p w14:paraId="6FF7A7F0" w14:textId="77777777" w:rsidR="0036679C" w:rsidRDefault="006D66DB">
      <w:pPr>
        <w:pStyle w:val="Nadpis1"/>
        <w:ind w:left="98" w:right="1"/>
      </w:pPr>
      <w:r>
        <w:t>Společná ujednání</w:t>
      </w:r>
      <w:r>
        <w:t xml:space="preserve"> </w:t>
      </w:r>
    </w:p>
    <w:p w14:paraId="0AF2A4F1" w14:textId="77777777" w:rsidR="0036679C" w:rsidRDefault="006D66DB">
      <w:pPr>
        <w:numPr>
          <w:ilvl w:val="0"/>
          <w:numId w:val="5"/>
        </w:numPr>
        <w:ind w:right="41" w:hanging="708"/>
      </w:pPr>
      <w:r>
        <w:t>Prodávající se zavazuje pře</w:t>
      </w:r>
      <w:r>
        <w:t xml:space="preserve">dat kupujícímu (zadavateli) seznam poddodavatelů, kterým za plnění subdodávky uhradil v běžném roce více než </w:t>
      </w:r>
      <w:proofErr w:type="gramStart"/>
      <w:r>
        <w:t>10%</w:t>
      </w:r>
      <w:proofErr w:type="gramEnd"/>
      <w:r>
        <w:t xml:space="preserve"> z ceny vyfakturované prodávajícím kupujícímu v tomto běžném roce, případně prohlášení, že žádné takovéto subdodavatele nevyužil. </w:t>
      </w:r>
      <w:r>
        <w:t xml:space="preserve"> </w:t>
      </w:r>
    </w:p>
    <w:p w14:paraId="19AE63AE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5232D18B" w14:textId="77777777" w:rsidR="0036679C" w:rsidRDefault="006D66DB">
      <w:pPr>
        <w:numPr>
          <w:ilvl w:val="0"/>
          <w:numId w:val="5"/>
        </w:numPr>
        <w:ind w:right="41" w:hanging="708"/>
      </w:pPr>
      <w:r>
        <w:t xml:space="preserve">Doklad podle </w:t>
      </w:r>
      <w:proofErr w:type="spellStart"/>
      <w:r>
        <w:t>ust</w:t>
      </w:r>
      <w:proofErr w:type="spellEnd"/>
      <w:r>
        <w:t>. čl. VI odst. 1 smlouvy bude povinen prodávající (vybraný dodavatel) předkládat po dobu účinnosti nejpozději do 28. února roku následujícího. Pro případ porušení této povinnosti prodávajícího smluvní strany sjednávají smluvní pokutu ve výš</w:t>
      </w:r>
      <w:r>
        <w:t>i 5 000,</w:t>
      </w:r>
      <w:r>
        <w:t xml:space="preserve">- </w:t>
      </w:r>
      <w:r>
        <w:t>Kč.</w:t>
      </w:r>
      <w:r>
        <w:t xml:space="preserve"> </w:t>
      </w:r>
    </w:p>
    <w:p w14:paraId="029D9858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72EA0916" w14:textId="77777777" w:rsidR="0036679C" w:rsidRDefault="006D66DB">
      <w:pPr>
        <w:numPr>
          <w:ilvl w:val="0"/>
          <w:numId w:val="5"/>
        </w:numPr>
        <w:spacing w:after="206"/>
        <w:ind w:right="41" w:hanging="708"/>
      </w:pPr>
      <w:r>
        <w:t>Dodržení ostatních smluvních povinností prodávajícího je utvrzeno smluvní pokutou ve výši 500,</w:t>
      </w:r>
      <w:r>
        <w:t xml:space="preserve">- </w:t>
      </w:r>
      <w:r>
        <w:t>Kč za každé jednotlivé porušení.</w:t>
      </w:r>
      <w:r>
        <w:t xml:space="preserve"> </w:t>
      </w:r>
    </w:p>
    <w:p w14:paraId="176B75C7" w14:textId="77777777" w:rsidR="0036679C" w:rsidRDefault="006D66DB">
      <w:pPr>
        <w:numPr>
          <w:ilvl w:val="0"/>
          <w:numId w:val="5"/>
        </w:numPr>
        <w:spacing w:after="207"/>
        <w:ind w:right="41" w:hanging="708"/>
      </w:pPr>
      <w:r>
        <w:lastRenderedPageBreak/>
        <w:t>Pro případ prodlení kupujícího s</w:t>
      </w:r>
      <w:r>
        <w:t xml:space="preserve"> </w:t>
      </w:r>
      <w:r>
        <w:t>úhradou faktury za dílčí plnění ve lhůtě splatnosti bez zavinění druhé strany se sjednává právo prodávajícího vyúčtovat úrok z prodlení v</w:t>
      </w:r>
      <w:r>
        <w:t xml:space="preserve"> </w:t>
      </w:r>
      <w:r>
        <w:t xml:space="preserve">zákonem stanovené výši (§ 2 nařízení vlády ČR č. 351/2013 Sb.). </w:t>
      </w:r>
      <w:r>
        <w:t xml:space="preserve"> </w:t>
      </w:r>
    </w:p>
    <w:p w14:paraId="1092032D" w14:textId="77777777" w:rsidR="0036679C" w:rsidRDefault="006D66DB">
      <w:pPr>
        <w:numPr>
          <w:ilvl w:val="0"/>
          <w:numId w:val="5"/>
        </w:numPr>
        <w:spacing w:after="221"/>
        <w:ind w:right="41" w:hanging="708"/>
      </w:pPr>
      <w:r>
        <w:t>Splatnost smluvní pokuty a úroku z</w:t>
      </w:r>
      <w:r>
        <w:t xml:space="preserve"> </w:t>
      </w:r>
      <w:r>
        <w:t>prodlení se sjedn</w:t>
      </w:r>
      <w:r>
        <w:t>ává ve lhůtě 15 dnů od vyúčtování.</w:t>
      </w:r>
      <w:r>
        <w:t xml:space="preserve"> </w:t>
      </w:r>
    </w:p>
    <w:p w14:paraId="4C908B72" w14:textId="77777777" w:rsidR="0036679C" w:rsidRDefault="006D66DB">
      <w:pPr>
        <w:numPr>
          <w:ilvl w:val="0"/>
          <w:numId w:val="5"/>
        </w:numPr>
        <w:spacing w:after="204"/>
        <w:ind w:right="41" w:hanging="708"/>
      </w:pPr>
      <w:r>
        <w:t>V</w:t>
      </w:r>
      <w:r>
        <w:t xml:space="preserve"> </w:t>
      </w:r>
      <w:r>
        <w:t>souladu s</w:t>
      </w:r>
      <w:r>
        <w:t xml:space="preserve"> </w:t>
      </w:r>
      <w:r>
        <w:t>ustanovením §3 nařízení vlády ČR č. 351/2013 Sb. ve znění pozdějších předpisů, se sjednává částka nákladů spojených s</w:t>
      </w:r>
      <w:r>
        <w:t xml:space="preserve"> </w:t>
      </w:r>
      <w:r>
        <w:t xml:space="preserve">vymáháním každé splatné pohledávky ve výši minimálně </w:t>
      </w:r>
      <w:r>
        <w:t xml:space="preserve">1 </w:t>
      </w:r>
      <w:r>
        <w:t>500 Kč.</w:t>
      </w:r>
      <w:r>
        <w:t xml:space="preserve"> </w:t>
      </w:r>
    </w:p>
    <w:p w14:paraId="604273CC" w14:textId="77777777" w:rsidR="0036679C" w:rsidRDefault="006D66DB">
      <w:pPr>
        <w:numPr>
          <w:ilvl w:val="0"/>
          <w:numId w:val="5"/>
        </w:numPr>
        <w:ind w:right="41" w:hanging="708"/>
      </w:pPr>
      <w:r>
        <w:t>Prodávající</w:t>
      </w:r>
      <w:r>
        <w:t xml:space="preserve"> </w:t>
      </w:r>
      <w:r>
        <w:t>je oprávněn</w:t>
      </w:r>
      <w:r>
        <w:t xml:space="preserve"> </w:t>
      </w:r>
      <w:r>
        <w:t>od</w:t>
      </w:r>
      <w:r>
        <w:t>kázat na vlastní všeobecné obchodní podmínky (VOP) s tím, že jmenovitě dohodnuté vztahy ve smlouvě (podle podmínek ZD a této přílohy) mají vyšší závaznost.</w:t>
      </w:r>
      <w:r>
        <w:t xml:space="preserve"> </w:t>
      </w:r>
      <w:r>
        <w:t>Tohoto svého práva odkázat na vlastní VOP se prodávající rozhodl nevyužít.</w:t>
      </w:r>
      <w:r>
        <w:t xml:space="preserve"> </w:t>
      </w:r>
    </w:p>
    <w:p w14:paraId="70613BB6" w14:textId="77777777" w:rsidR="0036679C" w:rsidRDefault="006D66DB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5D3CB6D1" w14:textId="77777777" w:rsidR="0036679C" w:rsidRDefault="006D66DB">
      <w:pPr>
        <w:numPr>
          <w:ilvl w:val="0"/>
          <w:numId w:val="5"/>
        </w:numPr>
        <w:ind w:right="41" w:hanging="708"/>
      </w:pPr>
      <w:r>
        <w:t>Smluvní strany prohlaš</w:t>
      </w:r>
      <w:r>
        <w:t>ují, že ve vztahu k ochraně osobních údajů</w:t>
      </w:r>
      <w:r>
        <w:t xml:space="preserve"> </w:t>
      </w:r>
      <w:r>
        <w:t>budou postupovat zcela v souladu s Obecným nařízením o ochraně osobních údajů (2016/679/EU).</w:t>
      </w:r>
      <w:r>
        <w:t xml:space="preserve"> </w:t>
      </w:r>
    </w:p>
    <w:p w14:paraId="7D3E59F2" w14:textId="77777777" w:rsidR="0036679C" w:rsidRDefault="006D66DB">
      <w:pPr>
        <w:spacing w:after="0" w:line="259" w:lineRule="auto"/>
        <w:ind w:left="137" w:right="0" w:firstLine="0"/>
        <w:jc w:val="center"/>
      </w:pPr>
      <w:r>
        <w:rPr>
          <w:b/>
        </w:rPr>
        <w:t xml:space="preserve"> </w:t>
      </w:r>
    </w:p>
    <w:p w14:paraId="5C0D99F0" w14:textId="77777777" w:rsidR="0036679C" w:rsidRDefault="006D66DB">
      <w:pPr>
        <w:spacing w:after="0" w:line="259" w:lineRule="auto"/>
        <w:ind w:left="454" w:right="361"/>
        <w:jc w:val="center"/>
      </w:pPr>
      <w:r>
        <w:rPr>
          <w:b/>
        </w:rPr>
        <w:t xml:space="preserve">VI </w:t>
      </w:r>
    </w:p>
    <w:p w14:paraId="10D7844D" w14:textId="77777777" w:rsidR="0036679C" w:rsidRDefault="006D66DB">
      <w:pPr>
        <w:pStyle w:val="Nadpis1"/>
        <w:ind w:left="98" w:right="4"/>
      </w:pPr>
      <w:r>
        <w:t>Závěrečná ujednání</w:t>
      </w:r>
      <w:r>
        <w:rPr>
          <w:b w:val="0"/>
        </w:rPr>
        <w:t xml:space="preserve"> </w:t>
      </w:r>
    </w:p>
    <w:p w14:paraId="36FB37F8" w14:textId="77777777" w:rsidR="0036679C" w:rsidRDefault="006D66DB">
      <w:pPr>
        <w:numPr>
          <w:ilvl w:val="0"/>
          <w:numId w:val="6"/>
        </w:numPr>
        <w:ind w:right="41" w:hanging="708"/>
      </w:pPr>
      <w:r>
        <w:t>Tato smlouva nabývá platnosti dnem jejího podpisu oběma smluvními stranami.</w:t>
      </w:r>
      <w:r>
        <w:t xml:space="preserve"> </w:t>
      </w:r>
    </w:p>
    <w:p w14:paraId="5E9EEF32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124B43A8" w14:textId="77777777" w:rsidR="0036679C" w:rsidRDefault="006D66DB">
      <w:pPr>
        <w:numPr>
          <w:ilvl w:val="0"/>
          <w:numId w:val="6"/>
        </w:numPr>
        <w:ind w:right="41" w:hanging="708"/>
      </w:pPr>
      <w:r>
        <w:t>Tato smlouva nabývá účinnosti dnem uveřejnění</w:t>
      </w:r>
      <w:r>
        <w:t xml:space="preserve"> </w:t>
      </w:r>
      <w:r>
        <w:t>v informačním systému registru smluv zřízeném podle zákona 340/2015 Sb. ve znění pozdějších předpisů. Účinnost této smlouvy</w:t>
      </w:r>
      <w:r>
        <w:t xml:space="preserve"> </w:t>
      </w:r>
      <w:r>
        <w:t xml:space="preserve">nebude </w:t>
      </w:r>
      <w:r>
        <w:t>kratší, než uplyne doba splnění veškerých povinností smluvních stran ze smlouvy. Obě smluvní strany berou na vědomí a souhlasí s tím, že kupující uveřejní metadata k této smlouvě a textový obsah smlouvy v informačním systému registru smluv zřízeném podle z</w:t>
      </w:r>
      <w:r>
        <w:t>ákona 340/2015 Sb. ve znění pozdějších předpisů bez zbytečného odkladu po podpisu smlouvy. O zveřejnění bude prodávající vyrozuměn.</w:t>
      </w:r>
      <w:r>
        <w:t xml:space="preserve"> </w:t>
      </w:r>
    </w:p>
    <w:p w14:paraId="6C6F4C7C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04D623B1" w14:textId="77777777" w:rsidR="0036679C" w:rsidRDefault="006D66DB">
      <w:pPr>
        <w:numPr>
          <w:ilvl w:val="0"/>
          <w:numId w:val="6"/>
        </w:numPr>
        <w:spacing w:after="207"/>
        <w:ind w:right="41" w:hanging="708"/>
      </w:pPr>
      <w:r>
        <w:t>Tuto smlouvu lze měnit a doplňovat pouze písemnými číslovanými datovanými dodatky, podepsanými oběma smluvními stranami.</w:t>
      </w:r>
      <w:r>
        <w:t xml:space="preserve"> </w:t>
      </w:r>
      <w:r>
        <w:t>Možnost změn práv a povinností vyplývajících ze smlouvy mající charakter pouze nepodstatných změn.</w:t>
      </w:r>
      <w:r>
        <w:t xml:space="preserve"> </w:t>
      </w:r>
    </w:p>
    <w:p w14:paraId="2623ED7B" w14:textId="77777777" w:rsidR="0036679C" w:rsidRDefault="006D66DB">
      <w:pPr>
        <w:numPr>
          <w:ilvl w:val="0"/>
          <w:numId w:val="6"/>
        </w:numPr>
        <w:ind w:right="41" w:hanging="708"/>
      </w:pPr>
      <w:r>
        <w:t>Plnění dle této smlouvy bude</w:t>
      </w:r>
      <w:r>
        <w:t xml:space="preserve"> </w:t>
      </w:r>
      <w:r>
        <w:t xml:space="preserve">poskytováno po dobu 48 měsíců od počátku účinnosti, nebo vyčerpání finančního limitu </w:t>
      </w:r>
      <w:r>
        <w:t xml:space="preserve">– </w:t>
      </w:r>
      <w:r>
        <w:t>celkové ceny plnění, podle toho, který p</w:t>
      </w:r>
      <w:r>
        <w:t>arametr uplyne dříve, pokud nedojde k ukončení smlouvy jiným způsobem.</w:t>
      </w:r>
      <w:r>
        <w:t xml:space="preserve"> </w:t>
      </w:r>
    </w:p>
    <w:p w14:paraId="4B5A59A8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642E50EE" w14:textId="77777777" w:rsidR="0036679C" w:rsidRDefault="006D66DB">
      <w:pPr>
        <w:numPr>
          <w:ilvl w:val="0"/>
          <w:numId w:val="6"/>
        </w:numPr>
        <w:ind w:right="41" w:hanging="708"/>
      </w:pPr>
      <w:r>
        <w:t>Tato smlouva může</w:t>
      </w:r>
      <w:r>
        <w:t xml:space="preserve"> </w:t>
      </w:r>
      <w:r>
        <w:t>být ukončena odstoupením od smlouvy, a to za podmínek stanovených zák. č. 89/2012 Sb., ve znění pozdějších předpisů. Zadavatel má právo, nad rámec zákonem daných ok</w:t>
      </w:r>
      <w:r>
        <w:t xml:space="preserve">olností, odstoupit od smlouvy i v případě opakovaného porušování podmínek plnění veřejné zakázky prodávajícím. </w:t>
      </w:r>
      <w:r>
        <w:t xml:space="preserve"> </w:t>
      </w:r>
    </w:p>
    <w:p w14:paraId="5FE39E90" w14:textId="77777777" w:rsidR="0036679C" w:rsidRDefault="006D66DB">
      <w:pPr>
        <w:spacing w:after="41" w:line="259" w:lineRule="auto"/>
        <w:ind w:left="143" w:right="0" w:firstLine="0"/>
        <w:jc w:val="left"/>
      </w:pPr>
      <w:r>
        <w:t xml:space="preserve"> </w:t>
      </w:r>
    </w:p>
    <w:p w14:paraId="3A46EDED" w14:textId="77777777" w:rsidR="0036679C" w:rsidRDefault="006D66DB">
      <w:pPr>
        <w:numPr>
          <w:ilvl w:val="0"/>
          <w:numId w:val="6"/>
        </w:numPr>
        <w:ind w:right="41" w:hanging="708"/>
      </w:pPr>
      <w:r>
        <w:t xml:space="preserve">Zadavatel (kupující) má dále právo na odstoupení od smlouvy, pokud by účastník (prodávající) uvedl v nabídce informace nebo doklady, které neodpovídají skutečnosti.  </w:t>
      </w:r>
      <w:r>
        <w:t xml:space="preserve"> </w:t>
      </w:r>
    </w:p>
    <w:p w14:paraId="4E22815A" w14:textId="77777777" w:rsidR="0036679C" w:rsidRDefault="006D66DB">
      <w:pPr>
        <w:spacing w:after="41" w:line="259" w:lineRule="auto"/>
        <w:ind w:left="143" w:right="0" w:firstLine="0"/>
        <w:jc w:val="left"/>
      </w:pPr>
      <w:r>
        <w:t xml:space="preserve"> </w:t>
      </w:r>
    </w:p>
    <w:p w14:paraId="1CC934E3" w14:textId="77777777" w:rsidR="0036679C" w:rsidRDefault="006D66DB">
      <w:pPr>
        <w:numPr>
          <w:ilvl w:val="0"/>
          <w:numId w:val="6"/>
        </w:numPr>
        <w:ind w:right="41" w:hanging="708"/>
      </w:pPr>
      <w:r>
        <w:t>Smluvní strany sjednávají možnost ukončení smluvního vztahu dohodou</w:t>
      </w:r>
      <w:r>
        <w:t xml:space="preserve">, a </w:t>
      </w:r>
      <w:r>
        <w:t>to za</w:t>
      </w:r>
      <w:r>
        <w:t xml:space="preserve"> </w:t>
      </w:r>
      <w:r>
        <w:t xml:space="preserve">podmínek </w:t>
      </w:r>
      <w:r>
        <w:t>stanovených předmětnými právními předpisy.</w:t>
      </w:r>
      <w:r>
        <w:t xml:space="preserve"> </w:t>
      </w:r>
    </w:p>
    <w:p w14:paraId="6DFE9E1C" w14:textId="77777777" w:rsidR="0036679C" w:rsidRDefault="006D66DB">
      <w:pPr>
        <w:spacing w:after="39" w:line="259" w:lineRule="auto"/>
        <w:ind w:left="143" w:right="0" w:firstLine="0"/>
        <w:jc w:val="left"/>
      </w:pPr>
      <w:r>
        <w:t xml:space="preserve"> </w:t>
      </w:r>
    </w:p>
    <w:p w14:paraId="5C049A79" w14:textId="77777777" w:rsidR="0036679C" w:rsidRDefault="006D66DB">
      <w:pPr>
        <w:numPr>
          <w:ilvl w:val="0"/>
          <w:numId w:val="6"/>
        </w:numPr>
        <w:ind w:right="41" w:hanging="708"/>
      </w:pPr>
      <w:r>
        <w:t>Tato smlouva byla vyhotovena ve dvou</w:t>
      </w:r>
      <w:r>
        <w:t xml:space="preserve"> </w:t>
      </w:r>
      <w:r>
        <w:t>stejnopisech s</w:t>
      </w:r>
      <w:r>
        <w:t xml:space="preserve"> </w:t>
      </w:r>
      <w:r>
        <w:t>platností originálu, z nichž každý z</w:t>
      </w:r>
      <w:r>
        <w:t xml:space="preserve"> </w:t>
      </w:r>
      <w:r>
        <w:t>účastníků obdrží po jednom vyhotovení.</w:t>
      </w:r>
      <w:r>
        <w:t xml:space="preserve"> </w:t>
      </w:r>
    </w:p>
    <w:p w14:paraId="37A6E900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19458510" w14:textId="77777777" w:rsidR="0036679C" w:rsidRDefault="006D66DB">
      <w:pPr>
        <w:numPr>
          <w:ilvl w:val="0"/>
          <w:numId w:val="6"/>
        </w:numPr>
        <w:ind w:right="41" w:hanging="708"/>
      </w:pPr>
      <w:r>
        <w:lastRenderedPageBreak/>
        <w:t>Tato smlouva se řídí právním řádem České republiky. Záležitosti</w:t>
      </w:r>
      <w:r>
        <w:t xml:space="preserve"> </w:t>
      </w:r>
      <w:r>
        <w:t>touto smlouvou blíže neupravené se řídí příslušnými ustanovením právního řádu České republiky. Příslušným soudem</w:t>
      </w:r>
      <w:r>
        <w:t xml:space="preserve"> </w:t>
      </w:r>
      <w:r>
        <w:t xml:space="preserve">pro řešení případných sporů, které by nebyly vyřešeny dohodou smluvních stran, </w:t>
      </w:r>
      <w:r>
        <w:t>bude místně příslušný soud podle</w:t>
      </w:r>
      <w:r>
        <w:t xml:space="preserve"> </w:t>
      </w:r>
      <w:r>
        <w:t>sídla zadavatele.</w:t>
      </w:r>
      <w:r>
        <w:t xml:space="preserve"> </w:t>
      </w:r>
    </w:p>
    <w:p w14:paraId="1B0E650C" w14:textId="77777777" w:rsidR="0036679C" w:rsidRDefault="006D66DB">
      <w:pPr>
        <w:spacing w:after="41" w:line="259" w:lineRule="auto"/>
        <w:ind w:left="142" w:right="0" w:firstLine="0"/>
        <w:jc w:val="left"/>
      </w:pPr>
      <w:r>
        <w:t xml:space="preserve"> </w:t>
      </w:r>
    </w:p>
    <w:p w14:paraId="1247339C" w14:textId="77777777" w:rsidR="0036679C" w:rsidRDefault="006D66DB">
      <w:pPr>
        <w:numPr>
          <w:ilvl w:val="0"/>
          <w:numId w:val="6"/>
        </w:numPr>
        <w:ind w:right="41" w:hanging="708"/>
      </w:pPr>
      <w:r>
        <w:t>Prodávající</w:t>
      </w:r>
      <w:r>
        <w:t xml:space="preserve"> </w:t>
      </w:r>
      <w:r>
        <w:t>a kupující shodně prohlašují, že se seznámili s</w:t>
      </w:r>
      <w:r>
        <w:t xml:space="preserve"> </w:t>
      </w:r>
      <w:r>
        <w:t>obsahem této smlouvy, zcela mu rozumí a bez výhrad s</w:t>
      </w:r>
      <w:r>
        <w:t xml:space="preserve"> </w:t>
      </w:r>
      <w:r>
        <w:t>ním souhlasí a dále prohlašují, že odpovídá jejich pravé, vážné a svobodné vůli, na důkaz</w:t>
      </w:r>
      <w:r>
        <w:t xml:space="preserve"> čehož připojují své podpisy.</w:t>
      </w:r>
      <w:r>
        <w:t xml:space="preserve"> </w:t>
      </w:r>
    </w:p>
    <w:p w14:paraId="5093AEA1" w14:textId="77777777" w:rsidR="0036679C" w:rsidRDefault="006D66DB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9122" w:type="dxa"/>
        <w:tblInd w:w="142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414"/>
      </w:tblGrid>
      <w:tr w:rsidR="0036679C" w14:paraId="3C186810" w14:textId="77777777">
        <w:trPr>
          <w:trHeight w:val="29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9F30DA" w14:textId="77777777" w:rsidR="0036679C" w:rsidRDefault="006D66DB">
            <w:pPr>
              <w:spacing w:after="0" w:line="259" w:lineRule="auto"/>
              <w:ind w:left="0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1221F749" w14:textId="77777777" w:rsidR="0036679C" w:rsidRDefault="006D66DB">
            <w:pPr>
              <w:spacing w:after="0" w:line="259" w:lineRule="auto"/>
              <w:ind w:left="0" w:right="0" w:firstLine="0"/>
              <w:jc w:val="left"/>
            </w:pPr>
            <w:r>
              <w:t>Přílohy</w:t>
            </w:r>
            <w:r>
              <w:t xml:space="preserve"> </w:t>
            </w:r>
            <w:r>
              <w:t>(tvořící nedílnou součást této smlouvy</w:t>
            </w:r>
            <w:r>
              <w:t>)</w:t>
            </w:r>
            <w:r>
              <w:t xml:space="preserve">: </w:t>
            </w:r>
            <w:r>
              <w:t xml:space="preserve"> </w:t>
            </w:r>
          </w:p>
        </w:tc>
      </w:tr>
      <w:tr w:rsidR="0036679C" w14:paraId="5C1D371D" w14:textId="77777777">
        <w:trPr>
          <w:trHeight w:val="28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5CFEAA" w14:textId="77777777" w:rsidR="0036679C" w:rsidRDefault="006D66DB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7DA272DB" w14:textId="77777777" w:rsidR="0036679C" w:rsidRDefault="006D66DB">
            <w:pPr>
              <w:spacing w:after="0" w:line="259" w:lineRule="auto"/>
              <w:ind w:left="0" w:right="0" w:firstLine="0"/>
              <w:jc w:val="left"/>
            </w:pPr>
            <w:r>
              <w:t>Příloha č. 1: Lokality, kde bude plněno (příloha 6 ZD)</w:t>
            </w:r>
            <w:r>
              <w:t xml:space="preserve"> </w:t>
            </w:r>
          </w:p>
        </w:tc>
      </w:tr>
      <w:tr w:rsidR="0036679C" w14:paraId="00F3BBBB" w14:textId="77777777">
        <w:trPr>
          <w:trHeight w:val="54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D8419A" w14:textId="77777777" w:rsidR="0036679C" w:rsidRDefault="006D66DB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6E59AAA0" w14:textId="77777777" w:rsidR="0036679C" w:rsidRDefault="006D66DB">
            <w:pPr>
              <w:spacing w:after="0" w:line="259" w:lineRule="auto"/>
              <w:ind w:left="12" w:right="0" w:hanging="12"/>
            </w:pPr>
            <w:r>
              <w:t>Příloha č. 2: Technický rozsah poskytovaných dodávek v rozsahu nabídky splňující minimálně požadavky ze ZD (specifikace příloha 5.23 ZD)</w:t>
            </w:r>
            <w:r>
              <w:t xml:space="preserve"> </w:t>
            </w:r>
          </w:p>
        </w:tc>
      </w:tr>
      <w:tr w:rsidR="0036679C" w14:paraId="43317D03" w14:textId="77777777">
        <w:trPr>
          <w:trHeight w:val="55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75B54D" w14:textId="77777777" w:rsidR="0036679C" w:rsidRDefault="006D66DB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3BB8FF93" w14:textId="77777777" w:rsidR="0036679C" w:rsidRDefault="006D66DB">
            <w:pPr>
              <w:spacing w:after="0" w:line="259" w:lineRule="auto"/>
              <w:ind w:left="12" w:right="0" w:hanging="12"/>
            </w:pPr>
            <w:r>
              <w:t>Příloha č. 3: Jednotkové a celková cena, z nabídky účastníka, které budou tvořit podklad pro fakturaci opakovaných plnění (přílohy ZD 5.23)</w:t>
            </w:r>
            <w:r>
              <w:t xml:space="preserve"> </w:t>
            </w:r>
          </w:p>
        </w:tc>
      </w:tr>
    </w:tbl>
    <w:p w14:paraId="5C95ACB6" w14:textId="77777777" w:rsidR="0036679C" w:rsidRDefault="006D66DB">
      <w:pPr>
        <w:spacing w:after="0" w:line="259" w:lineRule="auto"/>
        <w:ind w:left="862" w:right="0" w:firstLine="0"/>
        <w:jc w:val="left"/>
      </w:pPr>
      <w:r>
        <w:t xml:space="preserve"> </w:t>
      </w:r>
    </w:p>
    <w:p w14:paraId="750FAD09" w14:textId="77777777" w:rsidR="0036679C" w:rsidRDefault="0036679C">
      <w:pPr>
        <w:sectPr w:rsidR="0036679C">
          <w:footerReference w:type="even" r:id="rId7"/>
          <w:footerReference w:type="default" r:id="rId8"/>
          <w:footerReference w:type="first" r:id="rId9"/>
          <w:pgSz w:w="11906" w:h="16838"/>
          <w:pgMar w:top="1173" w:right="1363" w:bottom="711" w:left="1274" w:header="708" w:footer="708" w:gutter="0"/>
          <w:cols w:space="708"/>
          <w:titlePg/>
        </w:sectPr>
      </w:pPr>
    </w:p>
    <w:p w14:paraId="756E3A30" w14:textId="77777777" w:rsidR="0036679C" w:rsidRDefault="006D66DB">
      <w:pPr>
        <w:tabs>
          <w:tab w:val="center" w:pos="1418"/>
          <w:tab w:val="center" w:pos="2127"/>
          <w:tab w:val="center" w:pos="2837"/>
          <w:tab w:val="center" w:pos="3545"/>
          <w:tab w:val="center" w:pos="4253"/>
          <w:tab w:val="center" w:pos="5347"/>
        </w:tabs>
        <w:ind w:left="0" w:right="0" w:firstLine="0"/>
        <w:jc w:val="left"/>
      </w:pPr>
      <w:r>
        <w:lastRenderedPageBreak/>
        <w:t>Prodávající: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Kupující:</w:t>
      </w:r>
      <w:r>
        <w:t xml:space="preserve"> </w:t>
      </w:r>
    </w:p>
    <w:p w14:paraId="20BB3076" w14:textId="77777777" w:rsidR="0036679C" w:rsidRDefault="006D66D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3EDD6F" w14:textId="77777777" w:rsidR="0036679C" w:rsidRDefault="006D66DB">
      <w:pPr>
        <w:tabs>
          <w:tab w:val="center" w:pos="3545"/>
          <w:tab w:val="center" w:pos="4253"/>
          <w:tab w:val="right" w:pos="8933"/>
        </w:tabs>
        <w:ind w:left="0" w:right="0" w:firstLine="0"/>
        <w:jc w:val="left"/>
      </w:pPr>
      <w:r>
        <w:t>V Buštěhradě dne ____. ____. 20__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V ……………………………… dne ____. ____. 20__</w:t>
      </w:r>
      <w:r>
        <w:t xml:space="preserve"> </w:t>
      </w:r>
    </w:p>
    <w:p w14:paraId="2EC1B880" w14:textId="77777777" w:rsidR="0036679C" w:rsidRDefault="006D66D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CFE3C9" w14:textId="77777777" w:rsidR="0036679C" w:rsidRDefault="006D66D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627554" w14:textId="77777777" w:rsidR="0036679C" w:rsidRDefault="006D66D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3BF327" w14:textId="77777777" w:rsidR="0036679C" w:rsidRDefault="006D66D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EBFEA1" w14:textId="77777777" w:rsidR="0036679C" w:rsidRDefault="006D66DB">
      <w:pPr>
        <w:tabs>
          <w:tab w:val="center" w:pos="3545"/>
          <w:tab w:val="center" w:pos="4253"/>
          <w:tab w:val="center" w:pos="6559"/>
        </w:tabs>
        <w:ind w:left="0" w:right="0" w:firstLine="0"/>
        <w:jc w:val="left"/>
      </w:pPr>
      <w:r>
        <w:t>………………………………………………………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………………………………………………………</w:t>
      </w:r>
      <w:r>
        <w:t xml:space="preserve"> </w:t>
      </w:r>
    </w:p>
    <w:p w14:paraId="549429D9" w14:textId="77777777" w:rsidR="0036679C" w:rsidRDefault="006D66DB">
      <w:pPr>
        <w:tabs>
          <w:tab w:val="center" w:pos="2837"/>
          <w:tab w:val="center" w:pos="3545"/>
          <w:tab w:val="center" w:pos="4253"/>
          <w:tab w:val="right" w:pos="8933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DYNEX </w:t>
      </w:r>
      <w:proofErr w:type="spellStart"/>
      <w:r>
        <w:rPr>
          <w:b/>
        </w:rPr>
        <w:t>LabSolutions</w:t>
      </w:r>
      <w:proofErr w:type="spellEnd"/>
      <w:r>
        <w:rPr>
          <w:b/>
        </w:rPr>
        <w:t xml:space="preserve">, s. r.o.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Zdravotní ústav se sídlem v Ústí nad Labem </w:t>
      </w:r>
    </w:p>
    <w:p w14:paraId="53164EFC" w14:textId="77777777" w:rsidR="0036679C" w:rsidRDefault="006D66DB">
      <w:pPr>
        <w:tabs>
          <w:tab w:val="center" w:pos="3545"/>
          <w:tab w:val="center" w:pos="4253"/>
          <w:tab w:val="center" w:pos="6153"/>
        </w:tabs>
        <w:spacing w:after="12029"/>
        <w:ind w:left="0" w:right="0" w:firstLine="0"/>
        <w:jc w:val="left"/>
      </w:pPr>
      <w:r>
        <w:t xml:space="preserve">Ing. Zora </w:t>
      </w:r>
      <w:proofErr w:type="gramStart"/>
      <w:r>
        <w:t xml:space="preserve">Hanzlíková </w:t>
      </w:r>
      <w:r>
        <w:t xml:space="preserve">- </w:t>
      </w:r>
      <w:r>
        <w:t>jednatelka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Ing. Pavel </w:t>
      </w:r>
      <w:proofErr w:type="spellStart"/>
      <w:r>
        <w:t>Bernáth</w:t>
      </w:r>
      <w:proofErr w:type="spellEnd"/>
      <w:r>
        <w:t xml:space="preserve"> </w:t>
      </w:r>
      <w:r>
        <w:t xml:space="preserve">- </w:t>
      </w:r>
      <w:r>
        <w:t>ředitel</w:t>
      </w:r>
      <w:r>
        <w:t xml:space="preserve"> </w:t>
      </w:r>
    </w:p>
    <w:p w14:paraId="19E0FBA1" w14:textId="77777777" w:rsidR="0036679C" w:rsidRDefault="006D66DB">
      <w:pPr>
        <w:spacing w:after="356" w:line="259" w:lineRule="auto"/>
        <w:ind w:left="149" w:right="0"/>
        <w:jc w:val="center"/>
      </w:pPr>
      <w:r>
        <w:lastRenderedPageBreak/>
        <w:t xml:space="preserve">Strana 6 (celkem 6) </w:t>
      </w:r>
    </w:p>
    <w:sectPr w:rsidR="0036679C">
      <w:footerReference w:type="even" r:id="rId10"/>
      <w:footerReference w:type="default" r:id="rId11"/>
      <w:footerReference w:type="first" r:id="rId12"/>
      <w:pgSz w:w="11906" w:h="16838"/>
      <w:pgMar w:top="1440" w:right="155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4BB5E" w14:textId="77777777" w:rsidR="00000000" w:rsidRDefault="006D66DB">
      <w:pPr>
        <w:spacing w:after="0" w:line="240" w:lineRule="auto"/>
      </w:pPr>
      <w:r>
        <w:separator/>
      </w:r>
    </w:p>
  </w:endnote>
  <w:endnote w:type="continuationSeparator" w:id="0">
    <w:p w14:paraId="31BC1613" w14:textId="77777777" w:rsidR="00000000" w:rsidRDefault="006D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BCCBF" w14:textId="77777777" w:rsidR="0036679C" w:rsidRDefault="006D66DB">
    <w:pPr>
      <w:spacing w:after="0" w:line="259" w:lineRule="auto"/>
      <w:ind w:left="86" w:right="0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(celkem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4E0D7" w14:textId="77777777" w:rsidR="0036679C" w:rsidRDefault="006D66DB">
    <w:pPr>
      <w:spacing w:after="0" w:line="259" w:lineRule="auto"/>
      <w:ind w:left="86" w:right="0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(celkem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2F81C" w14:textId="77777777" w:rsidR="0036679C" w:rsidRDefault="0036679C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E5C0" w14:textId="77777777" w:rsidR="0036679C" w:rsidRDefault="0036679C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5578" w14:textId="77777777" w:rsidR="0036679C" w:rsidRDefault="0036679C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CAE7" w14:textId="77777777" w:rsidR="0036679C" w:rsidRDefault="0036679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22069" w14:textId="77777777" w:rsidR="00000000" w:rsidRDefault="006D66DB">
      <w:pPr>
        <w:spacing w:after="0" w:line="240" w:lineRule="auto"/>
      </w:pPr>
      <w:r>
        <w:separator/>
      </w:r>
    </w:p>
  </w:footnote>
  <w:footnote w:type="continuationSeparator" w:id="0">
    <w:p w14:paraId="3F1ACAD7" w14:textId="77777777" w:rsidR="00000000" w:rsidRDefault="006D6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2AC"/>
    <w:multiLevelType w:val="hybridMultilevel"/>
    <w:tmpl w:val="CE448B8E"/>
    <w:lvl w:ilvl="0" w:tplc="663691E4">
      <w:start w:val="1"/>
      <w:numFmt w:val="decimal"/>
      <w:lvlText w:val="%1.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8A3C0">
      <w:start w:val="1"/>
      <w:numFmt w:val="lowerLetter"/>
      <w:lvlText w:val="%2.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0DC54">
      <w:start w:val="1"/>
      <w:numFmt w:val="lowerRoman"/>
      <w:lvlText w:val="%3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21ADC">
      <w:start w:val="1"/>
      <w:numFmt w:val="decimal"/>
      <w:lvlText w:val="%4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A98F6">
      <w:start w:val="1"/>
      <w:numFmt w:val="lowerLetter"/>
      <w:lvlText w:val="%5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450FC">
      <w:start w:val="1"/>
      <w:numFmt w:val="lowerRoman"/>
      <w:lvlText w:val="%6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FC8112">
      <w:start w:val="1"/>
      <w:numFmt w:val="decimal"/>
      <w:lvlText w:val="%7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4F8E8">
      <w:start w:val="1"/>
      <w:numFmt w:val="lowerLetter"/>
      <w:lvlText w:val="%8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4C9FD6">
      <w:start w:val="1"/>
      <w:numFmt w:val="lowerRoman"/>
      <w:lvlText w:val="%9"/>
      <w:lvlJc w:val="left"/>
      <w:pPr>
        <w:ind w:left="6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54C58"/>
    <w:multiLevelType w:val="hybridMultilevel"/>
    <w:tmpl w:val="09AED792"/>
    <w:lvl w:ilvl="0" w:tplc="990E4ECA">
      <w:start w:val="1"/>
      <w:numFmt w:val="decimal"/>
      <w:lvlText w:val="%1.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4C473C">
      <w:start w:val="1"/>
      <w:numFmt w:val="lowerLetter"/>
      <w:lvlText w:val="%2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F240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70055C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41CB0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08B32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A1664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6AB04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A9314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FD5A72"/>
    <w:multiLevelType w:val="hybridMultilevel"/>
    <w:tmpl w:val="84A2BB2C"/>
    <w:lvl w:ilvl="0" w:tplc="A726E9B6">
      <w:numFmt w:val="bullet"/>
      <w:lvlText w:val="-"/>
      <w:lvlJc w:val="left"/>
      <w:pPr>
        <w:ind w:left="147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 w15:restartNumberingAfterBreak="0">
    <w:nsid w:val="2F7E39D6"/>
    <w:multiLevelType w:val="hybridMultilevel"/>
    <w:tmpl w:val="FE36E748"/>
    <w:lvl w:ilvl="0" w:tplc="7A44F44A">
      <w:start w:val="1"/>
      <w:numFmt w:val="decimal"/>
      <w:lvlText w:val="%1.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EF4F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C0F3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4D8C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E7A1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2370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47AD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0CD0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422B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BA79ED"/>
    <w:multiLevelType w:val="hybridMultilevel"/>
    <w:tmpl w:val="A8706906"/>
    <w:lvl w:ilvl="0" w:tplc="A16E91A0">
      <w:start w:val="1"/>
      <w:numFmt w:val="decimal"/>
      <w:lvlText w:val="%1.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47A5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00C0A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435E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2EC2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23A1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83644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2D15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8E65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356EF5"/>
    <w:multiLevelType w:val="hybridMultilevel"/>
    <w:tmpl w:val="E72054F2"/>
    <w:lvl w:ilvl="0" w:tplc="24F4FE00">
      <w:start w:val="1"/>
      <w:numFmt w:val="decimal"/>
      <w:lvlText w:val="%1.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063C4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6C4C4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8D02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40F7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6FD5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6D67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4302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4268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02569C"/>
    <w:multiLevelType w:val="hybridMultilevel"/>
    <w:tmpl w:val="BEDEDC34"/>
    <w:lvl w:ilvl="0" w:tplc="63A64C1C">
      <w:start w:val="1"/>
      <w:numFmt w:val="decimal"/>
      <w:lvlText w:val="%1.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8330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F2305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CEE0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C5CFC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4DEA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26C3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CE96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6B33A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9C"/>
    <w:rsid w:val="0036679C"/>
    <w:rsid w:val="006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5EEF"/>
  <w15:docId w15:val="{B632A599-BD15-44C5-A675-3C312EE5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51" w:right="2612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1"/>
      <w:ind w:left="95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D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1867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Krejčová</dc:creator>
  <cp:keywords/>
  <cp:lastModifiedBy>Kurzweilová Dana</cp:lastModifiedBy>
  <cp:revision>2</cp:revision>
  <dcterms:created xsi:type="dcterms:W3CDTF">2019-11-04T04:41:00Z</dcterms:created>
  <dcterms:modified xsi:type="dcterms:W3CDTF">2019-11-04T04:41:00Z</dcterms:modified>
</cp:coreProperties>
</file>