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9E" w:rsidRPr="002F6CB9" w:rsidRDefault="004C479E" w:rsidP="004C479E">
      <w:pPr>
        <w:pStyle w:val="Zkladntext"/>
        <w:spacing w:after="120"/>
        <w:rPr>
          <w:sz w:val="24"/>
          <w:szCs w:val="24"/>
        </w:rPr>
      </w:pPr>
      <w:bookmarkStart w:id="0" w:name="_GoBack"/>
      <w:r w:rsidRPr="002F6CB9">
        <w:rPr>
          <w:sz w:val="24"/>
          <w:szCs w:val="24"/>
        </w:rPr>
        <w:t xml:space="preserve">PŘÍLOHA Č. </w:t>
      </w:r>
      <w:r>
        <w:rPr>
          <w:sz w:val="24"/>
          <w:szCs w:val="24"/>
        </w:rPr>
        <w:t>2</w:t>
      </w:r>
    </w:p>
    <w:bookmarkEnd w:id="0"/>
    <w:p w:rsidR="004C479E" w:rsidRPr="0067596B" w:rsidRDefault="004C479E" w:rsidP="004C479E">
      <w:pPr>
        <w:ind w:right="-8"/>
        <w:jc w:val="center"/>
        <w:rPr>
          <w:rFonts w:cstheme="minorHAnsi"/>
        </w:rPr>
      </w:pPr>
      <w:r w:rsidRPr="0067596B">
        <w:rPr>
          <w:rFonts w:cstheme="minorHAnsi"/>
          <w:lang w:bidi="cs-CZ"/>
        </w:rPr>
        <w:t xml:space="preserve">MEZINÁRODNÍ ZÁSADY SPOLEČNOSTI PFIZER PRO </w:t>
      </w:r>
    </w:p>
    <w:p w:rsidR="004C479E" w:rsidRPr="0067596B" w:rsidRDefault="004C479E" w:rsidP="004C479E">
      <w:pPr>
        <w:ind w:right="-8"/>
        <w:jc w:val="center"/>
        <w:rPr>
          <w:rFonts w:cstheme="minorHAnsi"/>
        </w:rPr>
      </w:pPr>
      <w:r w:rsidRPr="0067596B">
        <w:rPr>
          <w:rFonts w:cstheme="minorHAnsi"/>
          <w:lang w:bidi="cs-CZ"/>
        </w:rPr>
        <w:t xml:space="preserve">PŘEDCHÁZENÍ ÚPLATKÁŘSTVÍ A KORUPCI </w:t>
      </w:r>
    </w:p>
    <w:p w:rsidR="004C479E" w:rsidRPr="0067596B" w:rsidRDefault="004C479E" w:rsidP="004C479E">
      <w:pPr>
        <w:ind w:right="-8"/>
        <w:jc w:val="center"/>
        <w:rPr>
          <w:rFonts w:cstheme="minorHAnsi"/>
        </w:rPr>
      </w:pPr>
    </w:p>
    <w:p w:rsidR="004C479E" w:rsidRPr="0067596B" w:rsidRDefault="004C479E" w:rsidP="004C479E">
      <w:pPr>
        <w:ind w:right="-8"/>
        <w:rPr>
          <w:rFonts w:cstheme="minorHAnsi"/>
          <w:color w:val="000000"/>
        </w:rPr>
      </w:pPr>
      <w:r w:rsidRPr="0067596B">
        <w:rPr>
          <w:rFonts w:cstheme="minorHAnsi"/>
          <w:color w:val="000000"/>
          <w:lang w:bidi="cs-CZ"/>
        </w:rPr>
        <w:t xml:space="preserve">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dlouhodobě dodržuje zásady zakazující při naší obchodní činnosti ve Spojených státech i v zahraničí úplatkářství a korupci.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w:t>
      </w:r>
    </w:p>
    <w:p w:rsidR="004C479E" w:rsidRPr="0067596B" w:rsidRDefault="004C479E" w:rsidP="004C479E">
      <w:pPr>
        <w:ind w:right="-8"/>
        <w:rPr>
          <w:rFonts w:cstheme="minorHAnsi"/>
          <w:color w:val="000000"/>
        </w:rPr>
      </w:pPr>
    </w:p>
    <w:p w:rsidR="004C479E" w:rsidRPr="0067596B" w:rsidRDefault="004C479E" w:rsidP="004C479E">
      <w:pPr>
        <w:spacing w:after="180"/>
        <w:ind w:right="-8"/>
        <w:rPr>
          <w:rFonts w:cstheme="minorHAnsi"/>
          <w:b/>
          <w:bCs/>
          <w:i/>
          <w:iCs/>
          <w:color w:val="000000"/>
        </w:rPr>
      </w:pPr>
      <w:r w:rsidRPr="0067596B">
        <w:rPr>
          <w:rFonts w:cstheme="minorHAnsi"/>
          <w:b/>
          <w:i/>
          <w:color w:val="000000"/>
          <w:lang w:bidi="cs-CZ"/>
        </w:rPr>
        <w:t>Uplácení Státních úředníků</w:t>
      </w:r>
    </w:p>
    <w:p w:rsidR="004C479E" w:rsidRPr="0067596B" w:rsidRDefault="004C479E" w:rsidP="004C479E">
      <w:pPr>
        <w:ind w:right="-8"/>
        <w:rPr>
          <w:rFonts w:cstheme="minorHAnsi"/>
          <w:color w:val="000000"/>
        </w:rPr>
      </w:pPr>
      <w:r w:rsidRPr="0067596B">
        <w:rPr>
          <w:rFonts w:cstheme="minorHAnsi"/>
          <w:color w:val="000000"/>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rsidR="004C479E" w:rsidRPr="0067596B" w:rsidRDefault="004C479E" w:rsidP="004C479E">
      <w:pPr>
        <w:ind w:right="-8"/>
        <w:rPr>
          <w:rFonts w:cstheme="minorHAnsi"/>
          <w:color w:val="000000"/>
        </w:rPr>
      </w:pPr>
    </w:p>
    <w:p w:rsidR="004C479E" w:rsidRPr="0067596B" w:rsidRDefault="004C479E" w:rsidP="004C479E">
      <w:pPr>
        <w:ind w:right="-8"/>
        <w:rPr>
          <w:rFonts w:cstheme="minorHAnsi"/>
          <w:color w:val="000000"/>
        </w:rPr>
      </w:pPr>
      <w:r w:rsidRPr="0067596B">
        <w:rPr>
          <w:rFonts w:cstheme="minorHAnsi"/>
          <w:color w:val="000000"/>
          <w:lang w:bidi="cs-CZ"/>
        </w:rPr>
        <w:t>Pojem „Státní úředník“ je vykládán široce a rozumí se jím:</w:t>
      </w:r>
    </w:p>
    <w:p w:rsidR="004C479E" w:rsidRPr="0067596B" w:rsidRDefault="004C479E" w:rsidP="004C479E">
      <w:pPr>
        <w:ind w:right="-8"/>
        <w:rPr>
          <w:rFonts w:cstheme="minorHAnsi"/>
          <w:color w:val="000000"/>
        </w:rPr>
      </w:pP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 xml:space="preserve">jakýkoli volený či jmenovaný Státní úředník (např. zákonodárce nebo člen ministerstva), </w:t>
      </w: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veřejné mezinárodní organizace,</w:t>
      </w: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jakýkoli člen královské rodiny nebo příslušník armády a</w:t>
      </w:r>
    </w:p>
    <w:p w:rsidR="004C479E" w:rsidRPr="0067596B" w:rsidRDefault="004C479E" w:rsidP="004C479E">
      <w:pPr>
        <w:pStyle w:val="Odstavecseseznamem"/>
        <w:numPr>
          <w:ilvl w:val="0"/>
          <w:numId w:val="1"/>
        </w:numPr>
        <w:overflowPunct/>
        <w:spacing w:after="240"/>
        <w:ind w:left="720" w:right="-8"/>
        <w:contextualSpacing w:val="0"/>
        <w:textAlignment w:val="auto"/>
        <w:rPr>
          <w:rFonts w:cstheme="minorHAnsi"/>
          <w:color w:val="000000"/>
        </w:rPr>
      </w:pPr>
      <w:r w:rsidRPr="0067596B">
        <w:rPr>
          <w:rFonts w:cstheme="minorHAnsi"/>
          <w:color w:val="000000"/>
          <w:lang w:bidi="cs-CZ"/>
        </w:rPr>
        <w:t>jakákoli osoba, kterou jinak zákon označí za Státního úředníka.</w:t>
      </w:r>
    </w:p>
    <w:p w:rsidR="004C479E" w:rsidRPr="0067596B" w:rsidRDefault="004C479E" w:rsidP="004C479E">
      <w:pPr>
        <w:ind w:right="-8"/>
        <w:rPr>
          <w:rFonts w:cstheme="minorHAnsi"/>
          <w:color w:val="000000"/>
        </w:rPr>
      </w:pPr>
      <w:r w:rsidRPr="0067596B">
        <w:rPr>
          <w:rFonts w:cstheme="minorHAnsi"/>
          <w:color w:val="000000"/>
          <w:lang w:bidi="cs-CZ"/>
        </w:rPr>
        <w:t>„Státní správou“ se rozumí všechny stupně a složky státní správy (tj. místní, krajské i celostátní orgány a orgány moci správní, soudní i výkonné).</w:t>
      </w:r>
    </w:p>
    <w:p w:rsidR="004C479E" w:rsidRPr="0067596B" w:rsidRDefault="004C479E" w:rsidP="004C479E">
      <w:pPr>
        <w:ind w:right="-8"/>
        <w:rPr>
          <w:rFonts w:cstheme="minorHAnsi"/>
          <w:color w:val="000000"/>
        </w:rPr>
      </w:pPr>
    </w:p>
    <w:p w:rsidR="004C479E" w:rsidRPr="0067596B" w:rsidRDefault="004C479E" w:rsidP="004C479E">
      <w:pPr>
        <w:ind w:right="-8"/>
        <w:rPr>
          <w:rFonts w:cstheme="minorHAnsi"/>
          <w:color w:val="000000"/>
        </w:rPr>
      </w:pPr>
      <w:r w:rsidRPr="0067596B">
        <w:rPr>
          <w:rFonts w:cstheme="minorHAnsi"/>
          <w:color w:val="000000"/>
          <w:lang w:bidi="cs-CZ"/>
        </w:rPr>
        <w:t xml:space="preserve">Vzhledem k tomu, že pojem „Státní úředník“ je vymezen takto široce, je pravděpodobné, že Obchodní partneři budou jednat se Státními úředníky v rámci své běžné obchodní činnosti pro společnost </w:t>
      </w:r>
      <w:proofErr w:type="spellStart"/>
      <w:r w:rsidRPr="0067596B">
        <w:rPr>
          <w:rFonts w:cstheme="minorHAnsi"/>
          <w:color w:val="000000"/>
          <w:lang w:bidi="cs-CZ"/>
        </w:rPr>
        <w:t>Pfizer</w:t>
      </w:r>
      <w:proofErr w:type="spellEnd"/>
      <w:r w:rsidRPr="0067596B">
        <w:rPr>
          <w:rFonts w:cstheme="minorHAnsi"/>
          <w:color w:val="000000"/>
          <w:lang w:bidi="cs-CZ"/>
        </w:rPr>
        <w:t>. Za „Státní úředníky“ mohou být považováni například lékaři pracující ve státních nemocnicích.</w:t>
      </w:r>
    </w:p>
    <w:p w:rsidR="004C479E" w:rsidRPr="0067596B" w:rsidRDefault="004C479E" w:rsidP="004C479E">
      <w:pPr>
        <w:ind w:right="-8"/>
        <w:rPr>
          <w:rFonts w:cstheme="minorHAnsi"/>
          <w:color w:val="000000"/>
        </w:rPr>
      </w:pPr>
    </w:p>
    <w:p w:rsidR="004C479E" w:rsidRPr="0067596B" w:rsidRDefault="004C479E" w:rsidP="004C479E">
      <w:pPr>
        <w:ind w:right="-8"/>
        <w:rPr>
          <w:rFonts w:cstheme="minorHAnsi"/>
          <w:color w:val="000000"/>
        </w:rPr>
      </w:pPr>
      <w:r w:rsidRPr="0067596B">
        <w:rPr>
          <w:rFonts w:cstheme="minorHAnsi"/>
          <w:color w:val="000000"/>
          <w:lang w:bidi="cs-CZ"/>
        </w:rPr>
        <w:t xml:space="preserve">USA Zákon Spojených států o předcházení korupčním praktikám v zahraničí (dále jen „FCPA“, </w:t>
      </w:r>
      <w:proofErr w:type="spellStart"/>
      <w:r w:rsidRPr="0067596B">
        <w:rPr>
          <w:rFonts w:cstheme="minorHAnsi"/>
          <w:i/>
          <w:color w:val="000000"/>
          <w:lang w:bidi="cs-CZ"/>
        </w:rPr>
        <w:t>Foreign</w:t>
      </w:r>
      <w:proofErr w:type="spellEnd"/>
      <w:r w:rsidRPr="0067596B">
        <w:rPr>
          <w:rFonts w:cstheme="minorHAnsi"/>
          <w:i/>
          <w:color w:val="000000"/>
          <w:lang w:bidi="cs-CZ"/>
        </w:rPr>
        <w:t xml:space="preserve"> </w:t>
      </w:r>
      <w:proofErr w:type="spellStart"/>
      <w:r w:rsidRPr="0067596B">
        <w:rPr>
          <w:rFonts w:cstheme="minorHAnsi"/>
          <w:i/>
          <w:color w:val="000000"/>
          <w:lang w:bidi="cs-CZ"/>
        </w:rPr>
        <w:t>Corrupt</w:t>
      </w:r>
      <w:proofErr w:type="spellEnd"/>
      <w:r w:rsidRPr="0067596B">
        <w:rPr>
          <w:rFonts w:cstheme="minorHAnsi"/>
          <w:i/>
          <w:color w:val="000000"/>
          <w:lang w:bidi="cs-CZ"/>
        </w:rPr>
        <w:t xml:space="preserve"> </w:t>
      </w:r>
      <w:proofErr w:type="spellStart"/>
      <w:r w:rsidRPr="0067596B">
        <w:rPr>
          <w:rFonts w:cstheme="minorHAnsi"/>
          <w:i/>
          <w:color w:val="000000"/>
          <w:lang w:bidi="cs-CZ"/>
        </w:rPr>
        <w:t>Practices</w:t>
      </w:r>
      <w:proofErr w:type="spellEnd"/>
      <w:r w:rsidRPr="0067596B">
        <w:rPr>
          <w:rFonts w:cstheme="minorHAnsi"/>
          <w:i/>
          <w:color w:val="000000"/>
          <w:lang w:bidi="cs-CZ"/>
        </w:rPr>
        <w:t xml:space="preserve"> </w:t>
      </w:r>
      <w:proofErr w:type="spellStart"/>
      <w:r w:rsidRPr="0067596B">
        <w:rPr>
          <w:rFonts w:cstheme="minorHAnsi"/>
          <w:i/>
          <w:color w:val="000000"/>
          <w:lang w:bidi="cs-CZ"/>
        </w:rPr>
        <w:t>Act</w:t>
      </w:r>
      <w:proofErr w:type="spellEnd"/>
      <w:r w:rsidRPr="0067596B">
        <w:rPr>
          <w:rFonts w:cstheme="minorHAnsi"/>
          <w:color w:val="000000"/>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w:t>
      </w:r>
      <w:proofErr w:type="spellStart"/>
      <w:r w:rsidRPr="0067596B">
        <w:rPr>
          <w:rFonts w:cstheme="minorHAnsi"/>
          <w:color w:val="000000"/>
          <w:lang w:bidi="cs-CZ"/>
        </w:rPr>
        <w:t>Pfizer</w:t>
      </w:r>
      <w:proofErr w:type="spellEnd"/>
      <w:r w:rsidRPr="0067596B">
        <w:rPr>
          <w:rFonts w:cstheme="minorHAnsi"/>
          <w:color w:val="000000"/>
          <w:lang w:bidi="cs-CZ"/>
        </w:rPr>
        <w:t>, jakožto společnost založená ve Spojených státech amerických, je povinna řídit se zákonem FCPA a mohla by nést odpovědnost v důsledku jednání, které učiní jakýkoli její Obchodní partner kdekoli na světě.</w:t>
      </w:r>
    </w:p>
    <w:p w:rsidR="004C479E" w:rsidRPr="0067596B" w:rsidRDefault="004C479E" w:rsidP="004C479E">
      <w:pPr>
        <w:ind w:right="-8"/>
        <w:rPr>
          <w:rFonts w:cstheme="minorHAnsi"/>
          <w:color w:val="000000"/>
        </w:rPr>
      </w:pPr>
    </w:p>
    <w:p w:rsidR="004C479E" w:rsidRPr="0067596B" w:rsidRDefault="004C479E" w:rsidP="004C479E">
      <w:pPr>
        <w:ind w:right="-8"/>
        <w:rPr>
          <w:rFonts w:cstheme="minorHAnsi"/>
          <w:b/>
          <w:bCs/>
          <w:color w:val="000000"/>
        </w:rPr>
      </w:pPr>
      <w:r w:rsidRPr="0067596B">
        <w:rPr>
          <w:rFonts w:cstheme="minorHAnsi"/>
          <w:b/>
          <w:color w:val="000000"/>
          <w:lang w:bidi="cs-CZ"/>
        </w:rPr>
        <w:t>Zásady pro předcházení úplatkářství a korupci v komunikaci se Státní správou a Státními úředníky</w:t>
      </w:r>
    </w:p>
    <w:p w:rsidR="004C479E" w:rsidRPr="0067596B" w:rsidRDefault="004C479E" w:rsidP="004C479E">
      <w:pPr>
        <w:ind w:right="-8"/>
        <w:rPr>
          <w:rFonts w:cstheme="minorHAnsi"/>
          <w:b/>
          <w:bCs/>
          <w:color w:val="000000"/>
        </w:rPr>
      </w:pPr>
    </w:p>
    <w:p w:rsidR="004C479E" w:rsidRPr="0067596B" w:rsidRDefault="004C479E" w:rsidP="004C479E">
      <w:pPr>
        <w:ind w:right="-8"/>
        <w:rPr>
          <w:rFonts w:cstheme="minorHAnsi"/>
          <w:color w:val="000000"/>
        </w:rPr>
      </w:pPr>
      <w:r w:rsidRPr="0067596B">
        <w:rPr>
          <w:rFonts w:cstheme="minorHAnsi"/>
          <w:color w:val="000000"/>
          <w:lang w:bidi="cs-CZ"/>
        </w:rPr>
        <w:t>Obchodní partner se musí při komunikaci se Státní správou a Státními úředníky řídit těmito zásadami:</w:t>
      </w:r>
    </w:p>
    <w:p w:rsidR="004C479E" w:rsidRPr="0067596B" w:rsidRDefault="004C479E" w:rsidP="004C479E">
      <w:pPr>
        <w:ind w:right="-8"/>
        <w:rPr>
          <w:rFonts w:cstheme="minorHAnsi"/>
          <w:color w:val="000000"/>
        </w:rPr>
      </w:pPr>
    </w:p>
    <w:p w:rsidR="004C479E" w:rsidRPr="0067596B" w:rsidRDefault="004C479E" w:rsidP="004C479E">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získat nebo zachovat si obchodní příležitost. Obchodní </w:t>
      </w:r>
      <w:r w:rsidRPr="0067596B">
        <w:rPr>
          <w:rFonts w:cstheme="minorHAnsi"/>
          <w:color w:val="000000"/>
          <w:lang w:bidi="cs-CZ"/>
        </w:rPr>
        <w:lastRenderedPageBreak/>
        <w:t xml:space="preserve">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nebo s cílem ovlivnit výsledky klinického hodnocení nebo získat jinou neoprávněnou výhodu pro podnikání společnosti </w:t>
      </w:r>
      <w:proofErr w:type="spellStart"/>
      <w:r w:rsidRPr="0067596B">
        <w:rPr>
          <w:rFonts w:cstheme="minorHAnsi"/>
          <w:color w:val="000000"/>
          <w:lang w:bidi="cs-CZ"/>
        </w:rPr>
        <w:t>Pfizer</w:t>
      </w:r>
      <w:proofErr w:type="spellEnd"/>
      <w:r w:rsidRPr="0067596B">
        <w:rPr>
          <w:rFonts w:cstheme="minorHAnsi"/>
          <w:color w:val="000000"/>
          <w:lang w:bidi="cs-CZ"/>
        </w:rPr>
        <w:t>.</w:t>
      </w:r>
    </w:p>
    <w:p w:rsidR="004C479E" w:rsidRPr="0067596B" w:rsidRDefault="004C479E" w:rsidP="004C479E">
      <w:pPr>
        <w:ind w:left="720" w:right="-8" w:hanging="720"/>
        <w:rPr>
          <w:rFonts w:cstheme="minorHAnsi"/>
          <w:color w:val="000000"/>
        </w:rPr>
      </w:pPr>
    </w:p>
    <w:p w:rsidR="004C479E" w:rsidRPr="0067596B" w:rsidRDefault="004C479E" w:rsidP="004C479E">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Při výkonu své činnosti v souvislosti se společností </w:t>
      </w:r>
      <w:proofErr w:type="spellStart"/>
      <w:r w:rsidRPr="0067596B">
        <w:rPr>
          <w:rFonts w:cstheme="minorHAnsi"/>
          <w:color w:val="000000"/>
          <w:lang w:bidi="cs-CZ"/>
        </w:rPr>
        <w:t>Pfizer</w:t>
      </w:r>
      <w:proofErr w:type="spellEnd"/>
      <w:r w:rsidRPr="0067596B">
        <w:rPr>
          <w:rFonts w:cstheme="minorHAnsi"/>
          <w:color w:val="000000"/>
          <w:lang w:bidi="cs-CZ"/>
        </w:rPr>
        <w:t xml:space="preserve"> jsou Obchodní 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w:t>
      </w:r>
      <w:proofErr w:type="spellStart"/>
      <w:r w:rsidRPr="0067596B">
        <w:rPr>
          <w:rFonts w:cstheme="minorHAnsi"/>
          <w:color w:val="000000"/>
          <w:lang w:bidi="cs-CZ"/>
        </w:rPr>
        <w:t>Pfizer</w:t>
      </w:r>
      <w:proofErr w:type="spellEnd"/>
      <w:r w:rsidRPr="0067596B">
        <w:rPr>
          <w:rFonts w:cstheme="minorHAnsi"/>
          <w:color w:val="000000"/>
          <w:lang w:bidi="cs-CZ"/>
        </w:rPr>
        <w:t>.</w:t>
      </w:r>
    </w:p>
    <w:p w:rsidR="004C479E" w:rsidRPr="0067596B" w:rsidRDefault="004C479E" w:rsidP="004C479E">
      <w:pPr>
        <w:ind w:left="720" w:right="-8" w:hanging="720"/>
        <w:rPr>
          <w:rFonts w:cstheme="minorHAnsi"/>
          <w:color w:val="000000"/>
        </w:rPr>
      </w:pPr>
    </w:p>
    <w:p w:rsidR="004C479E" w:rsidRPr="0067596B" w:rsidRDefault="004C479E" w:rsidP="004C479E">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obdrží žádost nebo požadavek na platbu k usnadnění jednání nebo o úplatek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nebo se o nich dozví, je povinen o této žádosti nebo požadavku ihned informovat svou hlavní kontaktní osobou ve společnosti </w:t>
      </w:r>
      <w:proofErr w:type="spellStart"/>
      <w:r w:rsidRPr="0067596B">
        <w:rPr>
          <w:rFonts w:cstheme="minorHAnsi"/>
          <w:color w:val="000000"/>
          <w:lang w:bidi="cs-CZ"/>
        </w:rPr>
        <w:t>Pfizer</w:t>
      </w:r>
      <w:proofErr w:type="spellEnd"/>
      <w:r w:rsidRPr="0067596B">
        <w:rPr>
          <w:rFonts w:cstheme="minorHAnsi"/>
          <w:color w:val="000000"/>
          <w:lang w:bidi="cs-CZ"/>
        </w:rPr>
        <w:t>, než podnikne jakékoli další kroky.</w:t>
      </w:r>
    </w:p>
    <w:p w:rsidR="004C479E" w:rsidRPr="0067596B" w:rsidRDefault="004C479E" w:rsidP="004C479E">
      <w:pPr>
        <w:ind w:right="-8"/>
        <w:rPr>
          <w:rFonts w:cstheme="minorHAnsi"/>
          <w:color w:val="000000"/>
        </w:rPr>
      </w:pPr>
    </w:p>
    <w:p w:rsidR="004C479E" w:rsidRPr="0067596B" w:rsidRDefault="004C479E" w:rsidP="004C479E">
      <w:pPr>
        <w:keepNext/>
        <w:keepLines/>
        <w:ind w:right="-8"/>
        <w:rPr>
          <w:rFonts w:cstheme="minorHAnsi"/>
          <w:b/>
          <w:bCs/>
          <w:i/>
          <w:iCs/>
          <w:color w:val="000000"/>
        </w:rPr>
      </w:pPr>
      <w:r w:rsidRPr="0067596B">
        <w:rPr>
          <w:rFonts w:cstheme="minorHAnsi"/>
          <w:b/>
          <w:i/>
          <w:color w:val="000000"/>
          <w:lang w:bidi="cs-CZ"/>
        </w:rPr>
        <w:t>Úplatkářství v obchodní sféře</w:t>
      </w:r>
    </w:p>
    <w:p w:rsidR="004C479E" w:rsidRPr="0067596B" w:rsidRDefault="004C479E" w:rsidP="004C479E">
      <w:pPr>
        <w:keepNext/>
        <w:keepLines/>
        <w:ind w:right="-8"/>
        <w:rPr>
          <w:rFonts w:cstheme="minorHAnsi"/>
          <w:b/>
          <w:bCs/>
          <w:i/>
          <w:iCs/>
          <w:color w:val="000000"/>
        </w:rPr>
      </w:pPr>
    </w:p>
    <w:p w:rsidR="004C479E" w:rsidRPr="0067596B" w:rsidRDefault="004C479E" w:rsidP="004C479E">
      <w:pPr>
        <w:ind w:right="-8"/>
        <w:rPr>
          <w:rFonts w:cstheme="minorHAnsi"/>
          <w:color w:val="000000"/>
        </w:rPr>
      </w:pPr>
      <w:r w:rsidRPr="0067596B">
        <w:rPr>
          <w:rFonts w:cstheme="minorHAnsi"/>
          <w:color w:val="000000"/>
          <w:lang w:bidi="cs-CZ"/>
        </w:rPr>
        <w:t xml:space="preserve">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přijmout danou osobu k nákupu zboží či služeb. Spolupracovníci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nabízet, poskytovat, požadovat ani přijímat úplatky a od svých Obchodních partnerů a osob jednajících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očekáváme, že se budou řídit stejnými zásadami.</w:t>
      </w:r>
    </w:p>
    <w:p w:rsidR="004C479E" w:rsidRPr="0067596B" w:rsidRDefault="004C479E" w:rsidP="004C479E">
      <w:pPr>
        <w:ind w:right="-8"/>
        <w:rPr>
          <w:rFonts w:cstheme="minorHAnsi"/>
          <w:color w:val="000000"/>
        </w:rPr>
      </w:pPr>
    </w:p>
    <w:p w:rsidR="004C479E" w:rsidRPr="0067596B" w:rsidRDefault="004C479E" w:rsidP="004C479E">
      <w:pPr>
        <w:ind w:right="-8"/>
        <w:rPr>
          <w:rFonts w:cstheme="minorHAnsi"/>
          <w:b/>
          <w:bCs/>
          <w:color w:val="000000"/>
        </w:rPr>
      </w:pPr>
      <w:r w:rsidRPr="0067596B">
        <w:rPr>
          <w:rFonts w:cstheme="minorHAnsi"/>
          <w:b/>
          <w:color w:val="000000"/>
          <w:lang w:bidi="cs-CZ"/>
        </w:rPr>
        <w:t xml:space="preserve">Zásady pro předcházení úplatkářství a korupci týkající v komunikaci se soukromými osobami a spolupracovníky společnosti </w:t>
      </w:r>
      <w:proofErr w:type="spellStart"/>
      <w:r w:rsidRPr="0067596B">
        <w:rPr>
          <w:rFonts w:cstheme="minorHAnsi"/>
          <w:b/>
          <w:color w:val="000000"/>
          <w:lang w:bidi="cs-CZ"/>
        </w:rPr>
        <w:t>Pfizer</w:t>
      </w:r>
      <w:proofErr w:type="spellEnd"/>
    </w:p>
    <w:p w:rsidR="004C479E" w:rsidRPr="0067596B" w:rsidRDefault="004C479E" w:rsidP="004C479E">
      <w:pPr>
        <w:ind w:right="-8"/>
        <w:rPr>
          <w:rFonts w:cstheme="minorHAnsi"/>
          <w:b/>
          <w:bCs/>
          <w:color w:val="000000"/>
        </w:rPr>
      </w:pPr>
    </w:p>
    <w:p w:rsidR="004C479E" w:rsidRPr="0067596B" w:rsidRDefault="004C479E" w:rsidP="004C479E">
      <w:pPr>
        <w:ind w:right="-8"/>
        <w:rPr>
          <w:rFonts w:cstheme="minorHAnsi"/>
          <w:color w:val="000000"/>
        </w:rPr>
      </w:pPr>
      <w:r w:rsidRPr="0067596B">
        <w:rPr>
          <w:rFonts w:cstheme="minorHAnsi"/>
          <w:color w:val="000000"/>
          <w:lang w:bidi="cs-CZ"/>
        </w:rPr>
        <w:t xml:space="preserve">Obchodní partner se musí při komunikaci se soukromými osobami a spolupracovníky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řídit těmito zásadami: </w:t>
      </w:r>
    </w:p>
    <w:p w:rsidR="004C479E" w:rsidRPr="0067596B" w:rsidRDefault="004C479E" w:rsidP="004C479E">
      <w:pPr>
        <w:ind w:right="-8"/>
        <w:rPr>
          <w:rFonts w:cstheme="minorHAnsi"/>
          <w:color w:val="000000"/>
        </w:rPr>
      </w:pPr>
    </w:p>
    <w:p w:rsidR="004C479E" w:rsidRPr="0067596B" w:rsidRDefault="004C479E" w:rsidP="004C479E">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nikomu přímo ani nepřímo uhradit, slíbit ani povolit úhradu korupční platby nebo poskytnutí jakékoli hodnoty s cílem ovlivnit tuto osobu, aby poskytla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jakoukoli protiprávní výhodu.</w:t>
      </w:r>
    </w:p>
    <w:p w:rsidR="004C479E" w:rsidRPr="0067596B" w:rsidRDefault="004C479E" w:rsidP="004C479E">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přímo ani nepřímo vyžadovat, zavázat se k přijetí nebo přijmout žádné hodnoty jako neoprávněnou pobídku v souvislosti se svou obchodní činností vykonávanou pro společnost </w:t>
      </w:r>
      <w:proofErr w:type="spellStart"/>
      <w:r w:rsidRPr="0067596B">
        <w:rPr>
          <w:rFonts w:cstheme="minorHAnsi"/>
          <w:color w:val="000000"/>
          <w:lang w:bidi="cs-CZ"/>
        </w:rPr>
        <w:t>Pfizer</w:t>
      </w:r>
      <w:proofErr w:type="spellEnd"/>
      <w:r w:rsidRPr="0067596B">
        <w:rPr>
          <w:rFonts w:cstheme="minorHAnsi"/>
          <w:color w:val="000000"/>
          <w:lang w:bidi="cs-CZ"/>
        </w:rPr>
        <w:t>.</w:t>
      </w:r>
    </w:p>
    <w:p w:rsidR="004C479E" w:rsidRPr="0067596B" w:rsidRDefault="004C479E" w:rsidP="004C479E">
      <w:pPr>
        <w:spacing w:after="240"/>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Spolupracovníci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nesmí od našich Obchodních partnerů a osob jednajících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rsidR="004C479E" w:rsidRPr="0067596B" w:rsidRDefault="004C479E" w:rsidP="004C479E">
      <w:pPr>
        <w:ind w:right="-8"/>
        <w:rPr>
          <w:rFonts w:cstheme="minorHAnsi"/>
          <w:b/>
          <w:bCs/>
          <w:i/>
          <w:iCs/>
          <w:color w:val="000000"/>
        </w:rPr>
      </w:pPr>
      <w:r w:rsidRPr="0067596B">
        <w:rPr>
          <w:rFonts w:cstheme="minorHAnsi"/>
          <w:b/>
          <w:i/>
          <w:color w:val="000000"/>
          <w:lang w:bidi="cs-CZ"/>
        </w:rPr>
        <w:t>Hlášení domnělých či skutečných případů porušení</w:t>
      </w:r>
    </w:p>
    <w:p w:rsidR="004C479E" w:rsidRPr="0067596B" w:rsidRDefault="004C479E" w:rsidP="004C479E">
      <w:pPr>
        <w:ind w:right="-8"/>
        <w:rPr>
          <w:rFonts w:cstheme="minorHAnsi"/>
          <w:b/>
          <w:bCs/>
          <w:i/>
          <w:iCs/>
          <w:color w:val="000000"/>
        </w:rPr>
      </w:pPr>
    </w:p>
    <w:p w:rsidR="004C479E" w:rsidRDefault="004C479E" w:rsidP="004C479E">
      <w:pPr>
        <w:ind w:right="-8"/>
        <w:rPr>
          <w:sz w:val="24"/>
          <w:szCs w:val="24"/>
        </w:rPr>
      </w:pPr>
      <w:r w:rsidRPr="0067596B">
        <w:rPr>
          <w:rFonts w:cstheme="minorHAnsi"/>
          <w:color w:val="000000"/>
          <w:lang w:bidi="cs-CZ"/>
        </w:rPr>
        <w:t xml:space="preserve">Od Obchodních partnerů a osob jednajících jejich jménem v souvislosti s prací pro společnost </w:t>
      </w:r>
      <w:proofErr w:type="spellStart"/>
      <w:r w:rsidRPr="0067596B">
        <w:rPr>
          <w:rFonts w:cstheme="minorHAnsi"/>
          <w:color w:val="000000"/>
          <w:lang w:bidi="cs-CZ"/>
        </w:rPr>
        <w:t>Pfizer</w:t>
      </w:r>
      <w:proofErr w:type="spellEnd"/>
      <w:r w:rsidRPr="0067596B">
        <w:rPr>
          <w:rFonts w:cstheme="minorHAnsi"/>
          <w:color w:val="000000"/>
          <w:lang w:bidi="cs-CZ"/>
        </w:rPr>
        <w:t xml:space="preserve"> se očekává, že upozorní na možné případy porušení těchto Zásad předcházení úplatkářství a korupci nebo na porušení zákona. Obchodní partner taková hlášení podává své hlavní kontaktní osobě ve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nebo, pokud tomu Obchodní partner dává přednost, koncernovému oddělení společnosti </w:t>
      </w:r>
      <w:proofErr w:type="spellStart"/>
      <w:r w:rsidRPr="0067596B">
        <w:rPr>
          <w:rFonts w:cstheme="minorHAnsi"/>
          <w:color w:val="000000"/>
          <w:lang w:bidi="cs-CZ"/>
        </w:rPr>
        <w:t>Pfizer</w:t>
      </w:r>
      <w:proofErr w:type="spellEnd"/>
      <w:r w:rsidRPr="0067596B">
        <w:rPr>
          <w:rFonts w:cstheme="minorHAnsi"/>
          <w:color w:val="000000"/>
          <w:lang w:bidi="cs-CZ"/>
        </w:rPr>
        <w:t xml:space="preserve"> pro dodržování právních předpisů e-mailem na adresu </w:t>
      </w:r>
      <w:r w:rsidRPr="0067596B">
        <w:rPr>
          <w:rFonts w:cstheme="minorHAnsi"/>
          <w:color w:val="0000FF"/>
          <w:lang w:bidi="cs-CZ"/>
        </w:rPr>
        <w:t xml:space="preserve">corporate.compliance@pfizer.com </w:t>
      </w:r>
      <w:r w:rsidRPr="0067596B">
        <w:rPr>
          <w:rFonts w:cstheme="minorHAnsi"/>
          <w:color w:val="000000"/>
          <w:lang w:bidi="cs-CZ"/>
        </w:rPr>
        <w:t>nebo telefonicky na číslo 1-212-733-3026.</w:t>
      </w:r>
    </w:p>
    <w:p w:rsidR="00491855" w:rsidRDefault="00491855"/>
    <w:sectPr w:rsidR="00491855" w:rsidSect="00CA5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9E"/>
    <w:rsid w:val="00491855"/>
    <w:rsid w:val="004C479E"/>
    <w:rsid w:val="00E05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EC77"/>
  <w15:chartTrackingRefBased/>
  <w15:docId w15:val="{BE450606-81D6-4D05-BB56-6D751462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cs-CZ"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C479E"/>
    <w:pPr>
      <w:overflowPunct w:val="0"/>
      <w:autoSpaceDE w:val="0"/>
      <w:autoSpaceDN w:val="0"/>
      <w:adjustRightInd w:val="0"/>
      <w:spacing w:line="240" w:lineRule="auto"/>
      <w:textAlignment w:val="baseline"/>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C479E"/>
    <w:pPr>
      <w:spacing w:before="120" w:line="312" w:lineRule="auto"/>
      <w:jc w:val="center"/>
    </w:pPr>
    <w:rPr>
      <w:b/>
      <w:sz w:val="28"/>
    </w:rPr>
  </w:style>
  <w:style w:type="character" w:customStyle="1" w:styleId="ZkladntextChar">
    <w:name w:val="Základní text Char"/>
    <w:basedOn w:val="Standardnpsmoodstavce"/>
    <w:link w:val="Zkladntext"/>
    <w:uiPriority w:val="99"/>
    <w:rsid w:val="004C479E"/>
    <w:rPr>
      <w:rFonts w:ascii="Times New Roman" w:eastAsia="Times New Roman" w:hAnsi="Times New Roman" w:cs="Times New Roman"/>
      <w:b/>
      <w:sz w:val="28"/>
      <w:szCs w:val="20"/>
      <w:lang w:eastAsia="cs-CZ"/>
    </w:rPr>
  </w:style>
  <w:style w:type="paragraph" w:styleId="Odstavecseseznamem">
    <w:name w:val="List Paragraph"/>
    <w:aliases w:val="Bullet 1"/>
    <w:basedOn w:val="Normln"/>
    <w:link w:val="OdstavecseseznamemChar"/>
    <w:uiPriority w:val="34"/>
    <w:qFormat/>
    <w:rsid w:val="004C479E"/>
    <w:pPr>
      <w:ind w:left="720"/>
      <w:contextualSpacing/>
    </w:pPr>
  </w:style>
  <w:style w:type="character" w:customStyle="1" w:styleId="OdstavecseseznamemChar">
    <w:name w:val="Odstavec se seznamem Char"/>
    <w:aliases w:val="Bullet 1 Char"/>
    <w:basedOn w:val="Standardnpsmoodstavce"/>
    <w:link w:val="Odstavecseseznamem"/>
    <w:uiPriority w:val="34"/>
    <w:rsid w:val="004C479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1225</Words>
  <Characters>7228</Characters>
  <Application>Microsoft Office Word</Application>
  <DocSecurity>0</DocSecurity>
  <Lines>60</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1</cp:revision>
  <dcterms:created xsi:type="dcterms:W3CDTF">2019-10-22T07:26:00Z</dcterms:created>
  <dcterms:modified xsi:type="dcterms:W3CDTF">2019-10-22T07:28:00Z</dcterms:modified>
</cp:coreProperties>
</file>