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</w:t>
      </w:r>
      <w:bookmarkEnd w:id="4"/>
      <w:bookmarkEnd w:id="5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zajištění výkonu koordinátora BOZP</w:t>
      </w:r>
      <w:bookmarkEnd w:id="6"/>
      <w:bookmarkEnd w:id="7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staveništi na akci: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11/357 Jimramov — most ev. č. 357-020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uzavřený podle § 1746 odst. 2 zákona č. 89/2012 Sb., občanský zákoník, v platném znění.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72/2018-KSÚSV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dodavatele: 15/KOO/BOZP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  <w:br/>
        <w:t>Smluvní strany</w:t>
      </w:r>
      <w:bookmarkEnd w:id="10"/>
      <w:bookmarkEnd w:id="11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094" w:left="869" w:right="994" w:bottom="1190" w:header="666" w:footer="762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749425" distL="0" distR="0" simplePos="0" relativeHeight="125829378" behindDoc="0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0</wp:posOffset>
                </wp:positionV>
                <wp:extent cx="4321810" cy="56070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21810" cy="560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Radovanem Necidem, ředitelem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0.25pt;margin-top:0;width:340.30000000000001pt;height:44.149999999999999pt;z-index:-125829375;mso-wrap-distance-left:0;mso-wrap-distance-right:0;mso-wrap-distance-bottom:13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  <w:bookmarkEnd w:id="0"/>
                      <w:bookmarkEnd w:id="1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Radovanem Necidem,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8890" distL="0" distR="0" simplePos="0" relativeHeight="125829380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6350</wp:posOffset>
                </wp:positionV>
                <wp:extent cx="3374390" cy="22948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74390" cy="2294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Osoby pověřené jednat jménem objednatele ve věcech technických: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Telefon: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Fax: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Zřizovatel: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.950000000000003pt;margin-top:0.5pt;width:265.69999999999999pt;height:180.69999999999999pt;z-index:-125829373;mso-wrap-distance-left:0;mso-wrap-distance-top:0.5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Osoby pověřené jednat jménem objednatele ve věcech technických: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Zřizovatel: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16280" distB="1231265" distL="0" distR="0" simplePos="0" relativeHeight="125829382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716280</wp:posOffset>
                </wp:positionV>
                <wp:extent cx="2780030" cy="3625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8003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15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, referent investiční výstavby Komerční banka,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0.75pt;margin-top:56.399999999999999pt;width:218.90000000000001pt;height:28.550000000000001pt;z-index:-125829371;mso-wrap-distance-left:0;mso-wrap-distance-top:56.399999999999999pt;mso-wrap-distance-right:0;mso-wrap-distance-bottom:96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15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, referent investiční výstavby Komerční banka,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1265" distB="719455" distL="0" distR="0" simplePos="0" relativeHeight="125829384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1231265</wp:posOffset>
                </wp:positionV>
                <wp:extent cx="841375" cy="3594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00090450 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0.75pt;margin-top:96.950000000000003pt;width:66.25pt;height:28.300000000000001pt;z-index:-125829369;mso-wrap-distance-left:0;mso-wrap-distance-top:96.950000000000003pt;mso-wrap-distance-right:0;mso-wrap-distance-bottom:56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00090450 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93850" distB="612775" distL="0" distR="0" simplePos="0" relativeHeight="125829386" behindDoc="0" locked="0" layoutInCell="1" allowOverlap="1">
                <wp:simplePos x="0" y="0"/>
                <wp:positionH relativeFrom="page">
                  <wp:posOffset>4989830</wp:posOffset>
                </wp:positionH>
                <wp:positionV relativeFrom="paragraph">
                  <wp:posOffset>1593850</wp:posOffset>
                </wp:positionV>
                <wp:extent cx="277495" cy="10350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2.89999999999998pt;margin-top:125.5pt;width:21.850000000000001pt;height:8.1500000000000004pt;z-index:-125829367;mso-wrap-distance-left:0;mso-wrap-distance-top:125.5pt;mso-wrap-distance-right:0;mso-wrap-distance-bottom:48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03120" distB="0" distL="0" distR="0" simplePos="0" relativeHeight="125829388" behindDoc="0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2103120</wp:posOffset>
                </wp:positionV>
                <wp:extent cx="932815" cy="2070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 Vysočina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50.5pt;margin-top:165.59999999999999pt;width:73.450000000000003pt;height:16.300000000000001pt;z-index:-125829365;mso-wrap-distance-left:0;mso-wrap-distance-top:165.5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„Objednatel“)</w:t>
      </w:r>
    </w:p>
    <w:tbl>
      <w:tblPr>
        <w:tblOverlap w:val="never"/>
        <w:jc w:val="left"/>
        <w:tblLayout w:type="fixed"/>
      </w:tblPr>
      <w:tblGrid>
        <w:gridCol w:w="1939"/>
        <w:gridCol w:w="3278"/>
      </w:tblGrid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Ivan Mařík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Barvířská 110/18, 589 01 Třešť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Č.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60541466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„koordinátor“)</w:t>
      </w:r>
    </w:p>
    <w:p>
      <w:pPr>
        <w:widowControl w:val="0"/>
        <w:spacing w:after="23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2" w:val="left"/>
        </w:tabs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vzájemně dohodly na změně stávající smlouvy č. 72/2018-KSÚSV ze dne 20. 3. 2018 spočívající v prodloužení termínu plnění.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strany se vzájemně dohodly, že Objednatel zaplatí dodavateli za provedené práce výkonu koordinátora přesahující předpokládaný počet stavebně realizačních měsíců (tj. 5 měsíců dle bodu 2a) kalkulace odměny) smluvní dohodnutou částku dle podané cenové nabídky ze dne 28. 2. 2018 ve výši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7.800,-- Kč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/stavebně realizační měsíc (neplátce DPH).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712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Koordinátor je oprávněn vystavit fakturu a Objednatel je povinen ji proplatit za každý další stavebně realizační měsíc přesahující 5 stavebně realizačních měsíců, až do ukončení činnosti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4" w:left="869" w:right="994" w:bottom="109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114300</wp:posOffset>
                </wp:positionV>
                <wp:extent cx="667385" cy="15557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Stránka 1 z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0.pt;margin-top:9.pt;width:52.549999999999997pt;height:12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1 z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 smlouvě č. 72/2018-KSÚSV akce: 11/357 Jimramov - most ev. č. 357-020</w:t>
      </w:r>
    </w:p>
    <w:p>
      <w:pPr>
        <w:pStyle w:val="Style4"/>
        <w:keepNext w:val="0"/>
        <w:keepLines w:val="0"/>
        <w:framePr w:w="10008" w:h="2472" w:wrap="none" w:hAnchor="page" w:x="960" w:y="1"/>
        <w:widowControl w:val="0"/>
        <w:shd w:val="clear" w:color="auto" w:fill="auto"/>
        <w:bidi w:val="0"/>
        <w:spacing w:before="0" w:after="1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koordinátora na základě předávacího protokolu o předání a převzetí stavby mezi zhotovitelem a objednatelem.</w:t>
      </w:r>
    </w:p>
    <w:p>
      <w:pPr>
        <w:pStyle w:val="Style4"/>
        <w:keepNext w:val="0"/>
        <w:keepLines w:val="0"/>
        <w:framePr w:w="10008" w:h="2472" w:wrap="none" w:hAnchor="page" w:x="960" w:y="1"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1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dále dohodly, že koordinátorovi nepřísluší tato odměna v období přerušení stavebních prací (např. zimní přestávka), tj. za období kdy koordinátor prokazatelně nevykonává svoji činnost. Činnost koordinátora bude opětovně obnovena dnem zahájení stavebních prací a jeho zápisem ve stavebním deníku.</w:t>
      </w:r>
    </w:p>
    <w:p>
      <w:pPr>
        <w:pStyle w:val="Style4"/>
        <w:keepNext w:val="0"/>
        <w:keepLines w:val="0"/>
        <w:framePr w:w="10008" w:h="2472" w:wrap="none" w:hAnchor="page" w:x="960" w:y="1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14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Smlouvy ve znění platných dodatků, nedotčené Dodatkem č. 2, zůstávají v platnosti v původním znění.</w:t>
      </w:r>
    </w:p>
    <w:p>
      <w:pPr>
        <w:pStyle w:val="Style2"/>
        <w:keepNext/>
        <w:keepLines/>
        <w:framePr w:w="1800" w:h="605" w:wrap="none" w:hAnchor="page" w:x="5079" w:y="28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  <w:br/>
        <w:t>Ostatní ujednání</w:t>
      </w:r>
      <w:bookmarkEnd w:id="14"/>
      <w:bookmarkEnd w:id="15"/>
    </w:p>
    <w:p>
      <w:pPr>
        <w:pStyle w:val="Style4"/>
        <w:keepNext w:val="0"/>
        <w:keepLines w:val="0"/>
        <w:framePr w:w="9998" w:h="4104" w:wrap="none" w:hAnchor="page" w:x="965" w:y="3539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nedílnou součástí Smlouvy o zajištění výkonu koordinátora BOZP na staveništi č. 72/2018-KSÚSV, uzavřené dne 20. 3. 2018 podle ustanovení § 1746 odst. 2 zákona č. 89/2012 Sb., občanský zákoník, v platném znění.</w:t>
      </w:r>
    </w:p>
    <w:p>
      <w:pPr>
        <w:pStyle w:val="Style4"/>
        <w:keepNext w:val="0"/>
        <w:keepLines w:val="0"/>
        <w:framePr w:w="9998" w:h="4104" w:wrap="none" w:hAnchor="page" w:x="965" w:y="3539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je vyhotoven ve třech stejnopisech, z nichž dva výtisky obdrží objednatel a jeden výtisk koordinátor.</w:t>
      </w:r>
    </w:p>
    <w:p>
      <w:pPr>
        <w:pStyle w:val="Style4"/>
        <w:keepNext w:val="0"/>
        <w:keepLines w:val="0"/>
        <w:framePr w:w="9998" w:h="4104" w:wrap="none" w:hAnchor="page" w:x="965" w:y="3539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2 nabývá platnosti dnem podpisu a účinnosti dnem uveřejnění v informačním systému veřejné správy - Registru smluv.</w:t>
      </w:r>
    </w:p>
    <w:p>
      <w:pPr>
        <w:pStyle w:val="Style4"/>
        <w:keepNext w:val="0"/>
        <w:keepLines w:val="0"/>
        <w:framePr w:w="9998" w:h="4104" w:wrap="none" w:hAnchor="page" w:x="965" w:y="3539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4"/>
        <w:keepNext w:val="0"/>
        <w:keepLines w:val="0"/>
        <w:framePr w:w="9998" w:h="4104" w:wrap="none" w:hAnchor="page" w:x="965" w:y="3539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si Dodatek č. 2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4"/>
        <w:keepNext w:val="0"/>
        <w:keepLines w:val="0"/>
        <w:framePr w:w="2573" w:h="317" w:wrap="none" w:hAnchor="page" w:x="5996" w:y="8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Třešti dne 30. 10. 2019</w:t>
      </w:r>
    </w:p>
    <w:p>
      <w:pPr>
        <w:pStyle w:val="Style2"/>
        <w:keepNext/>
        <w:keepLines/>
        <w:framePr w:w="1277" w:h="331" w:wrap="none" w:hAnchor="page" w:x="989" w:y="9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  <w:bookmarkEnd w:id="16"/>
      <w:bookmarkEnd w:id="17"/>
    </w:p>
    <w:p>
      <w:pPr>
        <w:pStyle w:val="Style2"/>
        <w:keepNext/>
        <w:keepLines/>
        <w:framePr w:w="1416" w:h="317" w:wrap="none" w:hAnchor="page" w:x="6000" w:y="9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Koordinátor:</w:t>
      </w:r>
      <w:bookmarkEnd w:id="18"/>
      <w:bookmarkEnd w:id="19"/>
    </w:p>
    <w:p>
      <w:pPr>
        <w:pStyle w:val="Style4"/>
        <w:keepNext w:val="0"/>
        <w:keepLines w:val="0"/>
        <w:framePr w:w="1987" w:h="605" w:wrap="none" w:hAnchor="page" w:x="1479" w:y="10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4"/>
        <w:keepNext w:val="0"/>
        <w:keepLines w:val="0"/>
        <w:framePr w:w="1128" w:h="317" w:wrap="none" w:hAnchor="page" w:x="7392" w:y="10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Ivan Mařík</w:t>
      </w:r>
    </w:p>
    <w:p>
      <w:pPr>
        <w:pStyle w:val="Style14"/>
        <w:keepNext w:val="0"/>
        <w:keepLines w:val="0"/>
        <w:framePr w:w="3427" w:h="446" w:wrap="none" w:hAnchor="page" w:x="994" w:y="13878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 smlouvě č. 72/2018-KSŮSV akce: 11/357 Jimramov - most ev. č. 357-020</w:t>
      </w:r>
    </w:p>
    <w:p>
      <w:pPr>
        <w:pStyle w:val="Style14"/>
        <w:keepNext w:val="0"/>
        <w:keepLines w:val="0"/>
        <w:framePr w:w="1046" w:h="245" w:wrap="none" w:hAnchor="page" w:x="9068" w:y="14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2 z 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648970</wp:posOffset>
            </wp:positionH>
            <wp:positionV relativeFrom="margin">
              <wp:posOffset>5334000</wp:posOffset>
            </wp:positionV>
            <wp:extent cx="1645920" cy="2374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5920" cy="237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091" w:left="959" w:right="932" w:bottom="1091" w:header="663" w:footer="66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0">
    <w:name w:val="Nadpis #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Jiné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13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