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171AED58" w:rsidR="00923483" w:rsidRDefault="004C31A6"/>
    <w:p w14:paraId="166B1127" w14:textId="77777777" w:rsidR="00604890" w:rsidRPr="004E6F49" w:rsidRDefault="00604890" w:rsidP="00A75721">
      <w:pPr>
        <w:spacing w:after="0"/>
        <w:jc w:val="center"/>
        <w:rPr>
          <w:b/>
          <w:sz w:val="40"/>
          <w:szCs w:val="40"/>
        </w:rPr>
      </w:pPr>
      <w:r w:rsidRPr="004E6F49">
        <w:rPr>
          <w:b/>
          <w:sz w:val="40"/>
          <w:szCs w:val="40"/>
        </w:rPr>
        <w:t>O B J E D N Á V K</w:t>
      </w:r>
      <w:r w:rsidR="00A75721" w:rsidRPr="004E6F49">
        <w:rPr>
          <w:b/>
          <w:sz w:val="40"/>
          <w:szCs w:val="40"/>
        </w:rPr>
        <w:t> </w:t>
      </w:r>
      <w:r w:rsidRPr="004E6F49">
        <w:rPr>
          <w:b/>
          <w:sz w:val="40"/>
          <w:szCs w:val="40"/>
        </w:rPr>
        <w:t>A</w:t>
      </w:r>
    </w:p>
    <w:p w14:paraId="41D44F15" w14:textId="6BC1CB55" w:rsidR="009D35A1" w:rsidRPr="004E6F49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4E6F49">
        <w:rPr>
          <w:sz w:val="24"/>
          <w:szCs w:val="24"/>
        </w:rPr>
        <w:t>Číslo objednávky:</w:t>
      </w:r>
      <w:r w:rsidR="008E3E46" w:rsidRPr="004E6F49">
        <w:rPr>
          <w:sz w:val="24"/>
          <w:szCs w:val="24"/>
        </w:rPr>
        <w:t xml:space="preserve"> </w:t>
      </w:r>
      <w:r w:rsidR="00054FD6" w:rsidRPr="004E6F49">
        <w:rPr>
          <w:b/>
          <w:sz w:val="24"/>
          <w:szCs w:val="24"/>
        </w:rPr>
        <w:t>06EU-004500</w:t>
      </w:r>
      <w:r w:rsidR="00054FD6" w:rsidRPr="004E6F49">
        <w:rPr>
          <w:sz w:val="24"/>
          <w:szCs w:val="24"/>
        </w:rPr>
        <w:t xml:space="preserve"> </w:t>
      </w:r>
      <w:r w:rsidR="008E3E46" w:rsidRPr="004E6F49">
        <w:rPr>
          <w:sz w:val="20"/>
          <w:szCs w:val="20"/>
        </w:rPr>
        <w:t>(uvádějte při fakturaci)</w:t>
      </w:r>
    </w:p>
    <w:p w14:paraId="211824E7" w14:textId="77777777" w:rsidR="008E3E46" w:rsidRPr="004E6F49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4E6F49">
        <w:rPr>
          <w:bCs/>
          <w:sz w:val="24"/>
          <w:szCs w:val="24"/>
        </w:rPr>
        <w:t xml:space="preserve">Číslo dodavatele: </w:t>
      </w:r>
    </w:p>
    <w:p w14:paraId="364C7595" w14:textId="62E68460" w:rsidR="008E3E46" w:rsidRPr="004E6F49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4E6F49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6F49">
        <w:rPr>
          <w:bCs/>
          <w:sz w:val="24"/>
          <w:szCs w:val="24"/>
        </w:rPr>
        <w:t xml:space="preserve">ISPROFIN/ISPROFOND: </w:t>
      </w:r>
      <w:r w:rsidR="00054FD6" w:rsidRPr="004E6F49">
        <w:rPr>
          <w:sz w:val="24"/>
          <w:szCs w:val="24"/>
          <w:highlight w:val="black"/>
        </w:rPr>
        <w:t>5001110007.31970</w:t>
      </w:r>
      <w:r w:rsidR="00054FD6" w:rsidRPr="004E6F49">
        <w:rPr>
          <w:sz w:val="24"/>
          <w:szCs w:val="24"/>
        </w:rPr>
        <w:t xml:space="preserve"> </w:t>
      </w:r>
      <w:r w:rsidRPr="004E6F49">
        <w:rPr>
          <w:sz w:val="20"/>
          <w:szCs w:val="20"/>
        </w:rPr>
        <w:t>(uvádějte při fakturaci)</w:t>
      </w:r>
    </w:p>
    <w:p w14:paraId="2E47A06F" w14:textId="77777777" w:rsidR="008E3E46" w:rsidRPr="004E6F49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5F6B95C5" w14:textId="68603305" w:rsidR="00054FD6" w:rsidRPr="004E6F49" w:rsidRDefault="00054FD6" w:rsidP="00054FD6">
      <w:pPr>
        <w:spacing w:after="0"/>
        <w:jc w:val="center"/>
        <w:rPr>
          <w:b/>
          <w:u w:val="single"/>
        </w:rPr>
      </w:pPr>
      <w:r w:rsidRPr="004E6F49">
        <w:rPr>
          <w:b/>
          <w:u w:val="single"/>
        </w:rPr>
        <w:t>Závěrečná repasportizace objektů ohrožených stavbou</w:t>
      </w:r>
    </w:p>
    <w:p w14:paraId="4463750E" w14:textId="47AB26FA" w:rsidR="00CB3AB0" w:rsidRDefault="00054FD6" w:rsidP="00054FD6">
      <w:pPr>
        <w:spacing w:after="0"/>
        <w:jc w:val="center"/>
        <w:rPr>
          <w:b/>
          <w:u w:val="single"/>
        </w:rPr>
      </w:pPr>
      <w:r w:rsidRPr="004E6F49">
        <w:rPr>
          <w:b/>
          <w:u w:val="single"/>
        </w:rPr>
        <w:t xml:space="preserve">I-27 Vrhaveč </w:t>
      </w:r>
      <w:r w:rsidR="004E6F49">
        <w:rPr>
          <w:b/>
          <w:u w:val="single"/>
        </w:rPr>
        <w:t>–</w:t>
      </w:r>
      <w:r w:rsidRPr="004E6F49">
        <w:rPr>
          <w:b/>
          <w:u w:val="single"/>
        </w:rPr>
        <w:t xml:space="preserve"> Neznašovy</w:t>
      </w:r>
    </w:p>
    <w:p w14:paraId="3AED430F" w14:textId="77777777" w:rsidR="004E6F49" w:rsidRPr="004E6F49" w:rsidRDefault="004E6F49" w:rsidP="00054FD6">
      <w:pPr>
        <w:spacing w:after="0"/>
        <w:jc w:val="center"/>
        <w:rPr>
          <w:b/>
        </w:rPr>
      </w:pPr>
    </w:p>
    <w:p w14:paraId="6D38822C" w14:textId="2A1601A6" w:rsidR="008E3E46" w:rsidRDefault="008E3E46" w:rsidP="002E029E">
      <w:pPr>
        <w:spacing w:after="0"/>
        <w:rPr>
          <w:b/>
        </w:rPr>
      </w:pPr>
    </w:p>
    <w:p w14:paraId="294A119A" w14:textId="77777777" w:rsidR="004E6F49" w:rsidRPr="004E6F49" w:rsidRDefault="004E6F49" w:rsidP="002E029E">
      <w:pPr>
        <w:spacing w:after="0"/>
        <w:rPr>
          <w:b/>
        </w:rPr>
        <w:sectPr w:rsidR="004E6F49" w:rsidRPr="004E6F49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4E6F49" w:rsidRDefault="00604890">
      <w:pPr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>Objednatel:</w:t>
      </w:r>
    </w:p>
    <w:p w14:paraId="2D91457E" w14:textId="060960B4" w:rsidR="00604890" w:rsidRPr="004E6F49" w:rsidRDefault="00604890" w:rsidP="00153D94">
      <w:pPr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>Ředitelství silnic a dálnic ČR</w:t>
      </w:r>
    </w:p>
    <w:p w14:paraId="30CF88F9" w14:textId="3FB27FFF" w:rsidR="008E3E46" w:rsidRPr="004E6F49" w:rsidRDefault="008E3E46" w:rsidP="00153D94">
      <w:pPr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>Správa Plzeň, Hřímalého 37, 301 00 Plzeň</w:t>
      </w:r>
    </w:p>
    <w:p w14:paraId="2C4E01A4" w14:textId="77777777" w:rsidR="00604890" w:rsidRPr="004E6F49" w:rsidRDefault="00604890" w:rsidP="00153D94">
      <w:pPr>
        <w:spacing w:after="0"/>
        <w:rPr>
          <w:sz w:val="24"/>
          <w:szCs w:val="24"/>
          <w:highlight w:val="black"/>
        </w:rPr>
      </w:pPr>
      <w:r w:rsidRPr="004E6F49">
        <w:rPr>
          <w:sz w:val="24"/>
          <w:szCs w:val="24"/>
        </w:rPr>
        <w:t xml:space="preserve">Bankovní spojení: </w:t>
      </w:r>
      <w:r w:rsidRPr="004E6F49">
        <w:rPr>
          <w:sz w:val="24"/>
          <w:szCs w:val="24"/>
          <w:highlight w:val="black"/>
        </w:rPr>
        <w:t>ČNB</w:t>
      </w:r>
    </w:p>
    <w:p w14:paraId="47A1C014" w14:textId="77777777" w:rsidR="00604890" w:rsidRPr="004E6F49" w:rsidRDefault="00604890" w:rsidP="00153D94">
      <w:pPr>
        <w:spacing w:after="0"/>
        <w:rPr>
          <w:sz w:val="24"/>
          <w:szCs w:val="24"/>
          <w:highlight w:val="black"/>
        </w:rPr>
      </w:pPr>
      <w:r w:rsidRPr="004E6F49">
        <w:rPr>
          <w:sz w:val="24"/>
          <w:szCs w:val="24"/>
        </w:rPr>
        <w:t xml:space="preserve">Číslo účtu: </w:t>
      </w:r>
      <w:r w:rsidRPr="004E6F49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4E6F49" w:rsidRDefault="00604890" w:rsidP="00153D94">
      <w:pPr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>IČO: 65993390</w:t>
      </w:r>
    </w:p>
    <w:p w14:paraId="312D64FA" w14:textId="7F98D14B" w:rsidR="00604890" w:rsidRPr="004E6F49" w:rsidRDefault="00604890" w:rsidP="00153D94">
      <w:pPr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DIČ: </w:t>
      </w:r>
      <w:r w:rsidR="00105E6A" w:rsidRPr="004E6F49">
        <w:rPr>
          <w:sz w:val="24"/>
          <w:szCs w:val="24"/>
        </w:rPr>
        <w:t>CZ65993390</w:t>
      </w:r>
    </w:p>
    <w:p w14:paraId="696270D3" w14:textId="377C799F" w:rsidR="00FD16D6" w:rsidRPr="004E6F49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4E6F49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4E6F49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6C2BB941" w14:textId="77777777" w:rsidR="004E6F49" w:rsidRDefault="004E6F49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482385BA" w14:textId="0FD00D57" w:rsidR="004E6F49" w:rsidRPr="004E6F49" w:rsidRDefault="004E6F49" w:rsidP="004E6F49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4F9ED1A8" w14:textId="493763C5" w:rsidR="004E6F49" w:rsidRPr="004E6F49" w:rsidRDefault="004E6F49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>Dodavatel:</w:t>
      </w:r>
    </w:p>
    <w:p w14:paraId="364D5A14" w14:textId="77777777" w:rsidR="004E6F49" w:rsidRDefault="004E6F49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7648917B" w14:textId="6E9A737C" w:rsidR="00FD16D6" w:rsidRPr="004E6F49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4E6F49">
        <w:rPr>
          <w:sz w:val="24"/>
          <w:szCs w:val="24"/>
        </w:rPr>
        <w:t xml:space="preserve">Obchodní jméno: </w:t>
      </w:r>
      <w:r w:rsidR="004E6F49">
        <w:rPr>
          <w:sz w:val="24"/>
          <w:szCs w:val="24"/>
        </w:rPr>
        <w:t>INSET s.r.o.</w:t>
      </w:r>
    </w:p>
    <w:p w14:paraId="5902184A" w14:textId="0DD60AF5" w:rsidR="00FD16D6" w:rsidRPr="004E6F49" w:rsidRDefault="00FD16D6" w:rsidP="004E6F49">
      <w:pPr>
        <w:tabs>
          <w:tab w:val="left" w:pos="2268"/>
        </w:tabs>
        <w:spacing w:after="0"/>
        <w:ind w:right="-354"/>
        <w:contextualSpacing/>
        <w:rPr>
          <w:sz w:val="24"/>
          <w:szCs w:val="24"/>
        </w:rPr>
      </w:pPr>
      <w:r w:rsidRPr="004E6F49">
        <w:rPr>
          <w:sz w:val="24"/>
          <w:szCs w:val="24"/>
        </w:rPr>
        <w:t xml:space="preserve">Adresa: </w:t>
      </w:r>
      <w:r w:rsidR="004E6F49">
        <w:rPr>
          <w:sz w:val="24"/>
          <w:szCs w:val="24"/>
        </w:rPr>
        <w:t>Lucemburská 1170/7, 130 00  Praha 3</w:t>
      </w:r>
    </w:p>
    <w:p w14:paraId="406AAB6B" w14:textId="6F566C8B" w:rsidR="00FD16D6" w:rsidRPr="004E6F4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Bankovní spojení: </w:t>
      </w:r>
      <w:r w:rsidRPr="004E6F49">
        <w:rPr>
          <w:sz w:val="24"/>
          <w:szCs w:val="24"/>
          <w:highlight w:val="black"/>
        </w:rPr>
        <w:t>[bude doplněno]</w:t>
      </w:r>
      <w:proofErr w:type="spellStart"/>
      <w:r w:rsidR="004E6F49" w:rsidRPr="004E6F49">
        <w:rPr>
          <w:sz w:val="24"/>
          <w:szCs w:val="24"/>
          <w:highlight w:val="black"/>
        </w:rPr>
        <w:t>xxx</w:t>
      </w:r>
      <w:proofErr w:type="spellEnd"/>
      <w:r w:rsidRPr="004E6F49">
        <w:rPr>
          <w:sz w:val="24"/>
          <w:szCs w:val="24"/>
        </w:rPr>
        <w:tab/>
      </w:r>
    </w:p>
    <w:p w14:paraId="573F0E39" w14:textId="77777777" w:rsidR="00FD16D6" w:rsidRPr="004E6F4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Číslo účtu: </w:t>
      </w:r>
      <w:r w:rsidRPr="004E6F49">
        <w:rPr>
          <w:sz w:val="24"/>
          <w:szCs w:val="24"/>
          <w:highlight w:val="black"/>
        </w:rPr>
        <w:t>[bude doplněno]</w:t>
      </w:r>
    </w:p>
    <w:p w14:paraId="29117F31" w14:textId="7FB1CB74" w:rsidR="00FD16D6" w:rsidRPr="004E6F4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IČO: </w:t>
      </w:r>
      <w:r w:rsidR="004E6F49">
        <w:rPr>
          <w:sz w:val="24"/>
          <w:szCs w:val="24"/>
        </w:rPr>
        <w:t>03579727</w:t>
      </w:r>
    </w:p>
    <w:p w14:paraId="1F495684" w14:textId="5DABCA89" w:rsidR="00FD16D6" w:rsidRPr="004E6F4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DIČ: </w:t>
      </w:r>
      <w:r w:rsidR="004E6F49">
        <w:rPr>
          <w:sz w:val="24"/>
          <w:szCs w:val="24"/>
        </w:rPr>
        <w:t>CZ03579727</w:t>
      </w:r>
    </w:p>
    <w:p w14:paraId="5B88C604" w14:textId="11C99B36" w:rsidR="00FD16D6" w:rsidRPr="004E6F4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Kontaktní osoba: </w:t>
      </w:r>
      <w:r w:rsidRPr="004E6F49">
        <w:rPr>
          <w:sz w:val="24"/>
          <w:szCs w:val="24"/>
          <w:highlight w:val="black"/>
        </w:rPr>
        <w:t>[bude doplněno]</w:t>
      </w:r>
      <w:proofErr w:type="spellStart"/>
      <w:r w:rsidR="004E6F49" w:rsidRPr="004E6F49">
        <w:rPr>
          <w:sz w:val="24"/>
          <w:szCs w:val="24"/>
          <w:highlight w:val="black"/>
        </w:rPr>
        <w:t>xxxxxx</w:t>
      </w:r>
      <w:proofErr w:type="spellEnd"/>
      <w:r w:rsidR="004E6F49">
        <w:rPr>
          <w:sz w:val="24"/>
          <w:szCs w:val="24"/>
        </w:rPr>
        <w:t xml:space="preserve"> </w:t>
      </w:r>
      <w:r w:rsidR="004E6F49" w:rsidRPr="004E6F49">
        <w:rPr>
          <w:sz w:val="24"/>
          <w:szCs w:val="24"/>
          <w:highlight w:val="black"/>
        </w:rPr>
        <w:t>tel. 602 207 838</w:t>
      </w:r>
      <w:r w:rsidRPr="004E6F49">
        <w:rPr>
          <w:sz w:val="24"/>
          <w:szCs w:val="24"/>
        </w:rPr>
        <w:tab/>
      </w:r>
    </w:p>
    <w:p w14:paraId="29216CE8" w14:textId="77777777" w:rsidR="00FD16D6" w:rsidRPr="004E6F49" w:rsidRDefault="00FD16D6" w:rsidP="00FD16D6">
      <w:pPr>
        <w:rPr>
          <w:sz w:val="24"/>
          <w:szCs w:val="24"/>
        </w:rPr>
      </w:pPr>
    </w:p>
    <w:p w14:paraId="10320009" w14:textId="77777777" w:rsidR="00EF028F" w:rsidRPr="004E6F49" w:rsidRDefault="00EF028F">
      <w:pPr>
        <w:rPr>
          <w:sz w:val="24"/>
          <w:szCs w:val="24"/>
        </w:rPr>
      </w:pPr>
    </w:p>
    <w:p w14:paraId="693818E2" w14:textId="77777777" w:rsidR="00EF028F" w:rsidRPr="004E6F49" w:rsidRDefault="00EF028F">
      <w:pPr>
        <w:rPr>
          <w:b/>
          <w:sz w:val="24"/>
          <w:szCs w:val="24"/>
        </w:rPr>
        <w:sectPr w:rsidR="00EF028F" w:rsidRPr="004E6F49" w:rsidSect="004E6F49">
          <w:type w:val="continuous"/>
          <w:pgSz w:w="11906" w:h="16838"/>
          <w:pgMar w:top="1417" w:right="1133" w:bottom="1417" w:left="1417" w:header="708" w:footer="708" w:gutter="0"/>
          <w:cols w:num="2" w:space="708"/>
          <w:docGrid w:linePitch="360"/>
        </w:sectPr>
      </w:pPr>
    </w:p>
    <w:p w14:paraId="281F781C" w14:textId="05744686" w:rsidR="00A87460" w:rsidRPr="004E6F49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 xml:space="preserve">Tato objednávka </w:t>
      </w:r>
      <w:r w:rsidR="00607143" w:rsidRPr="004E6F49">
        <w:rPr>
          <w:rFonts w:cs="Times New Roman"/>
          <w:sz w:val="24"/>
          <w:szCs w:val="24"/>
        </w:rPr>
        <w:t>O</w:t>
      </w:r>
      <w:r w:rsidRPr="004E6F49">
        <w:rPr>
          <w:rFonts w:cs="Times New Roman"/>
          <w:sz w:val="24"/>
          <w:szCs w:val="24"/>
        </w:rPr>
        <w:t xml:space="preserve">bjednatele zavazuje po jejím potvrzení </w:t>
      </w:r>
      <w:r w:rsidR="00607143" w:rsidRPr="004E6F49">
        <w:rPr>
          <w:rFonts w:cs="Times New Roman"/>
          <w:sz w:val="24"/>
          <w:szCs w:val="24"/>
        </w:rPr>
        <w:t>D</w:t>
      </w:r>
      <w:r w:rsidRPr="004E6F49">
        <w:rPr>
          <w:rFonts w:cs="Times New Roman"/>
          <w:sz w:val="24"/>
          <w:szCs w:val="24"/>
        </w:rPr>
        <w:t>odavatele</w:t>
      </w:r>
      <w:r w:rsidR="00DE7F99" w:rsidRPr="004E6F49">
        <w:rPr>
          <w:rFonts w:cs="Times New Roman"/>
          <w:sz w:val="24"/>
          <w:szCs w:val="24"/>
        </w:rPr>
        <w:t>m</w:t>
      </w:r>
      <w:r w:rsidRPr="004E6F49">
        <w:rPr>
          <w:rFonts w:cs="Times New Roman"/>
          <w:sz w:val="24"/>
          <w:szCs w:val="24"/>
        </w:rPr>
        <w:t xml:space="preserve"> obě </w:t>
      </w:r>
      <w:r w:rsidR="00542302" w:rsidRPr="004E6F49">
        <w:rPr>
          <w:rFonts w:cs="Times New Roman"/>
          <w:sz w:val="24"/>
          <w:szCs w:val="24"/>
        </w:rPr>
        <w:t>s</w:t>
      </w:r>
      <w:r w:rsidRPr="004E6F49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4E6F49">
        <w:rPr>
          <w:rFonts w:cs="Times New Roman"/>
          <w:sz w:val="24"/>
          <w:szCs w:val="24"/>
        </w:rPr>
        <w:t xml:space="preserve">Dodavatel </w:t>
      </w:r>
      <w:r w:rsidRPr="004E6F49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4E6F49">
        <w:rPr>
          <w:rFonts w:cs="Times New Roman"/>
          <w:sz w:val="24"/>
          <w:szCs w:val="24"/>
        </w:rPr>
        <w:t>O</w:t>
      </w:r>
      <w:r w:rsidRPr="004E6F49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4E6F49">
        <w:rPr>
          <w:rFonts w:cs="Times New Roman"/>
          <w:sz w:val="24"/>
          <w:szCs w:val="24"/>
        </w:rPr>
        <w:t>objednávkou</w:t>
      </w:r>
      <w:r w:rsidRPr="004E6F49">
        <w:rPr>
          <w:rFonts w:cs="Times New Roman"/>
          <w:sz w:val="24"/>
          <w:szCs w:val="24"/>
        </w:rPr>
        <w:t xml:space="preserve"> cenu uvedenou níže.</w:t>
      </w:r>
    </w:p>
    <w:p w14:paraId="5A4F9420" w14:textId="1EF92C36" w:rsidR="00604890" w:rsidRPr="004E6F49" w:rsidRDefault="00604890" w:rsidP="00A87460">
      <w:pPr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>Místo dodání:</w:t>
      </w:r>
      <w:r w:rsidR="00453955" w:rsidRPr="004E6F49">
        <w:rPr>
          <w:b/>
          <w:sz w:val="24"/>
          <w:szCs w:val="24"/>
        </w:rPr>
        <w:t xml:space="preserve"> </w:t>
      </w:r>
      <w:r w:rsidR="00054FD6" w:rsidRPr="004E6F49">
        <w:rPr>
          <w:sz w:val="24"/>
          <w:szCs w:val="24"/>
        </w:rPr>
        <w:t>Ředitelství silnic a dálnic ČR, Správa Plzeň, Hřímalého 37, 301 00 Plzeň</w:t>
      </w:r>
    </w:p>
    <w:p w14:paraId="26946945" w14:textId="77777777" w:rsidR="008E3E46" w:rsidRPr="004E6F49" w:rsidRDefault="00FD1FB4" w:rsidP="008E3E46">
      <w:pPr>
        <w:ind w:right="-426"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>Kontaktní osoba O</w:t>
      </w:r>
      <w:r w:rsidR="00604890" w:rsidRPr="004E6F49">
        <w:rPr>
          <w:b/>
          <w:sz w:val="24"/>
          <w:szCs w:val="24"/>
        </w:rPr>
        <w:t>bjednatele:</w:t>
      </w:r>
      <w:r w:rsidR="00453955" w:rsidRPr="004E6F49">
        <w:rPr>
          <w:b/>
          <w:sz w:val="24"/>
          <w:szCs w:val="24"/>
        </w:rPr>
        <w:t xml:space="preserve"> </w:t>
      </w:r>
      <w:r w:rsidR="008E3E46" w:rsidRPr="004E6F49">
        <w:rPr>
          <w:sz w:val="24"/>
          <w:szCs w:val="24"/>
          <w:highlight w:val="black"/>
        </w:rPr>
        <w:t>Ladislava Martínková</w:t>
      </w:r>
      <w:r w:rsidR="008E3E46" w:rsidRPr="004E6F49">
        <w:rPr>
          <w:b/>
          <w:sz w:val="24"/>
          <w:szCs w:val="24"/>
          <w:highlight w:val="black"/>
        </w:rPr>
        <w:t xml:space="preserve">, </w:t>
      </w:r>
      <w:r w:rsidR="008E3E46" w:rsidRPr="004E6F49">
        <w:rPr>
          <w:sz w:val="24"/>
          <w:szCs w:val="24"/>
          <w:highlight w:val="black"/>
        </w:rPr>
        <w:t>tel. 377 333 761</w:t>
      </w:r>
      <w:r w:rsidR="008E3E46" w:rsidRPr="004E6F49">
        <w:rPr>
          <w:b/>
          <w:sz w:val="24"/>
          <w:szCs w:val="24"/>
          <w:highlight w:val="black"/>
        </w:rPr>
        <w:t xml:space="preserve">, </w:t>
      </w:r>
      <w:r w:rsidR="008E3E46" w:rsidRPr="004E6F49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4E6F49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4E6F49">
        <w:rPr>
          <w:sz w:val="24"/>
          <w:szCs w:val="24"/>
        </w:rPr>
        <w:t xml:space="preserve">  </w:t>
      </w:r>
    </w:p>
    <w:p w14:paraId="39F2742E" w14:textId="0B8468E3" w:rsidR="00604890" w:rsidRPr="004E6F49" w:rsidRDefault="008E3E46">
      <w:pPr>
        <w:rPr>
          <w:b/>
          <w:sz w:val="24"/>
          <w:szCs w:val="24"/>
        </w:rPr>
      </w:pPr>
      <w:r w:rsidRPr="004E6F49">
        <w:rPr>
          <w:rFonts w:cs="Times New Roman"/>
          <w:b/>
          <w:sz w:val="24"/>
          <w:szCs w:val="24"/>
        </w:rPr>
        <w:t xml:space="preserve">Kontaktní osoba ve věcech technických: </w:t>
      </w:r>
      <w:r w:rsidR="00054FD6" w:rsidRPr="004E6F49">
        <w:rPr>
          <w:sz w:val="24"/>
          <w:szCs w:val="24"/>
          <w:highlight w:val="black"/>
        </w:rPr>
        <w:t xml:space="preserve">Mgr. Michal Vydra, tel. 377 333 728, e-mail: </w:t>
      </w:r>
      <w:hyperlink r:id="rId12" w:history="1">
        <w:r w:rsidR="00054FD6" w:rsidRPr="004E6F49">
          <w:rPr>
            <w:rStyle w:val="Hypertextovodkaz"/>
            <w:color w:val="auto"/>
            <w:sz w:val="24"/>
            <w:szCs w:val="24"/>
            <w:highlight w:val="black"/>
          </w:rPr>
          <w:t>michal.vydra@rsd.cz</w:t>
        </w:r>
      </w:hyperlink>
      <w:r w:rsidR="00054FD6" w:rsidRPr="004E6F49">
        <w:rPr>
          <w:sz w:val="24"/>
          <w:szCs w:val="24"/>
        </w:rPr>
        <w:t xml:space="preserve"> </w:t>
      </w:r>
    </w:p>
    <w:p w14:paraId="255FD969" w14:textId="6E6F3EA0" w:rsidR="00604890" w:rsidRPr="004E6F49" w:rsidRDefault="00604890" w:rsidP="00153D94">
      <w:pPr>
        <w:jc w:val="both"/>
        <w:rPr>
          <w:sz w:val="24"/>
          <w:szCs w:val="24"/>
        </w:rPr>
      </w:pPr>
      <w:r w:rsidRPr="004E6F49">
        <w:rPr>
          <w:b/>
          <w:sz w:val="24"/>
          <w:szCs w:val="24"/>
        </w:rPr>
        <w:t xml:space="preserve">Fakturujte: </w:t>
      </w:r>
      <w:r w:rsidR="008E3E46" w:rsidRPr="004E6F49">
        <w:rPr>
          <w:sz w:val="24"/>
          <w:szCs w:val="24"/>
        </w:rPr>
        <w:t>Ředitelství silnic a dálnic ČR, Správa Plzeň, Hřímalého 37, 301 00 Plzeň</w:t>
      </w:r>
    </w:p>
    <w:p w14:paraId="42C0E761" w14:textId="3AC51372" w:rsidR="004D5C72" w:rsidRPr="004E6F49" w:rsidRDefault="00604890" w:rsidP="00F42E23">
      <w:pPr>
        <w:jc w:val="both"/>
        <w:rPr>
          <w:sz w:val="24"/>
          <w:szCs w:val="24"/>
        </w:rPr>
      </w:pPr>
      <w:r w:rsidRPr="004E6F49">
        <w:rPr>
          <w:b/>
          <w:sz w:val="24"/>
          <w:szCs w:val="24"/>
        </w:rPr>
        <w:t>Obchodní a platební podmínky:</w:t>
      </w:r>
      <w:r w:rsidR="00153D94" w:rsidRPr="004E6F49">
        <w:rPr>
          <w:b/>
          <w:sz w:val="24"/>
          <w:szCs w:val="24"/>
        </w:rPr>
        <w:t xml:space="preserve"> </w:t>
      </w:r>
      <w:r w:rsidR="00153D94" w:rsidRPr="004E6F49">
        <w:rPr>
          <w:sz w:val="24"/>
          <w:szCs w:val="24"/>
        </w:rPr>
        <w:t xml:space="preserve">Objednatel uhradí cenu jednorázovým bankovním převodem na účet </w:t>
      </w:r>
      <w:r w:rsidR="00DB2E94" w:rsidRPr="004E6F49">
        <w:rPr>
          <w:sz w:val="24"/>
          <w:szCs w:val="24"/>
        </w:rPr>
        <w:t>D</w:t>
      </w:r>
      <w:r w:rsidR="00153D94" w:rsidRPr="004E6F49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4E6F49">
        <w:rPr>
          <w:sz w:val="24"/>
          <w:szCs w:val="24"/>
        </w:rPr>
        <w:t>O</w:t>
      </w:r>
      <w:r w:rsidR="00153D94" w:rsidRPr="004E6F49">
        <w:rPr>
          <w:sz w:val="24"/>
          <w:szCs w:val="24"/>
        </w:rPr>
        <w:t xml:space="preserve">bjednateli. Fakturu lze předložit nejdříve po protokolárním převzetí </w:t>
      </w:r>
      <w:r w:rsidR="00054FD6" w:rsidRPr="004E6F49">
        <w:rPr>
          <w:sz w:val="24"/>
          <w:szCs w:val="24"/>
        </w:rPr>
        <w:t>služeb</w:t>
      </w:r>
      <w:r w:rsidR="00FD1FB4" w:rsidRPr="004E6F49">
        <w:rPr>
          <w:sz w:val="24"/>
          <w:szCs w:val="24"/>
        </w:rPr>
        <w:t xml:space="preserve"> O</w:t>
      </w:r>
      <w:r w:rsidR="00153D94" w:rsidRPr="004E6F49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4E6F49">
        <w:rPr>
          <w:sz w:val="24"/>
          <w:szCs w:val="24"/>
        </w:rPr>
        <w:t xml:space="preserve"> </w:t>
      </w:r>
      <w:r w:rsidR="00C01C05" w:rsidRPr="004E6F49">
        <w:rPr>
          <w:sz w:val="24"/>
          <w:szCs w:val="24"/>
        </w:rPr>
        <w:t>Potvrzením přijetí (akceptací)</w:t>
      </w:r>
      <w:r w:rsidR="00D766F5" w:rsidRPr="004E6F49">
        <w:rPr>
          <w:sz w:val="24"/>
          <w:szCs w:val="24"/>
        </w:rPr>
        <w:t xml:space="preserve"> tét</w:t>
      </w:r>
      <w:r w:rsidR="00FD1FB4" w:rsidRPr="004E6F49">
        <w:rPr>
          <w:sz w:val="24"/>
          <w:szCs w:val="24"/>
        </w:rPr>
        <w:t>o objednávky se D</w:t>
      </w:r>
      <w:r w:rsidR="00D766F5" w:rsidRPr="004E6F49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4E6F49">
        <w:rPr>
          <w:sz w:val="24"/>
          <w:szCs w:val="24"/>
        </w:rPr>
        <w:t>akceptaci</w:t>
      </w:r>
      <w:r w:rsidR="00FD1FB4" w:rsidRPr="004E6F49">
        <w:rPr>
          <w:sz w:val="24"/>
          <w:szCs w:val="24"/>
        </w:rPr>
        <w:t xml:space="preserve"> objednávky D</w:t>
      </w:r>
      <w:r w:rsidR="00D766F5" w:rsidRPr="004E6F49">
        <w:rPr>
          <w:sz w:val="24"/>
          <w:szCs w:val="24"/>
        </w:rPr>
        <w:t>odavatelem s jakýmikoliv změnami</w:t>
      </w:r>
      <w:r w:rsidR="0095425D" w:rsidRPr="004E6F49">
        <w:rPr>
          <w:sz w:val="24"/>
          <w:szCs w:val="24"/>
        </w:rPr>
        <w:t xml:space="preserve"> jejího obsahu, k takovému právnímu jednání </w:t>
      </w:r>
      <w:r w:rsidR="00B15555" w:rsidRPr="004E6F49">
        <w:rPr>
          <w:sz w:val="24"/>
          <w:szCs w:val="24"/>
        </w:rPr>
        <w:t xml:space="preserve">Dodavatele </w:t>
      </w:r>
      <w:r w:rsidR="0095425D" w:rsidRPr="004E6F49">
        <w:rPr>
          <w:sz w:val="24"/>
          <w:szCs w:val="24"/>
        </w:rPr>
        <w:t>se nepřihlíží</w:t>
      </w:r>
      <w:r w:rsidR="00C01C05" w:rsidRPr="004E6F49">
        <w:rPr>
          <w:sz w:val="24"/>
          <w:szCs w:val="24"/>
        </w:rPr>
        <w:t xml:space="preserve">. </w:t>
      </w:r>
      <w:r w:rsidR="00F42E23" w:rsidRPr="004E6F49">
        <w:rPr>
          <w:sz w:val="24"/>
          <w:szCs w:val="24"/>
        </w:rPr>
        <w:t xml:space="preserve">Dodavatel poskytuje souhlas s </w:t>
      </w:r>
      <w:r w:rsidR="00F42E23" w:rsidRPr="004E6F49">
        <w:rPr>
          <w:sz w:val="24"/>
          <w:szCs w:val="24"/>
        </w:rPr>
        <w:lastRenderedPageBreak/>
        <w:t>uveřejněním objednávky</w:t>
      </w:r>
      <w:r w:rsidR="00D03DA3" w:rsidRPr="004E6F49">
        <w:rPr>
          <w:sz w:val="24"/>
          <w:szCs w:val="24"/>
        </w:rPr>
        <w:t xml:space="preserve"> a</w:t>
      </w:r>
      <w:r w:rsidR="00F204DF" w:rsidRPr="004E6F49">
        <w:rPr>
          <w:sz w:val="24"/>
          <w:szCs w:val="24"/>
        </w:rPr>
        <w:t xml:space="preserve"> </w:t>
      </w:r>
      <w:r w:rsidR="00D03DA3" w:rsidRPr="004E6F49">
        <w:rPr>
          <w:sz w:val="24"/>
          <w:szCs w:val="24"/>
        </w:rPr>
        <w:t>jejího potvrzení</w:t>
      </w:r>
      <w:r w:rsidR="00F42E23" w:rsidRPr="004E6F49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4E6F49">
        <w:rPr>
          <w:sz w:val="24"/>
          <w:szCs w:val="24"/>
        </w:rPr>
        <w:t>ako „zákon o registru smluv“), O</w:t>
      </w:r>
      <w:r w:rsidR="00F42E23" w:rsidRPr="004E6F49">
        <w:rPr>
          <w:sz w:val="24"/>
          <w:szCs w:val="24"/>
        </w:rPr>
        <w:t>bjednatelem.</w:t>
      </w:r>
      <w:r w:rsidR="000C7C8D" w:rsidRPr="004E6F49">
        <w:rPr>
          <w:sz w:val="24"/>
          <w:szCs w:val="24"/>
        </w:rPr>
        <w:t xml:space="preserve"> </w:t>
      </w:r>
      <w:r w:rsidR="00F31356" w:rsidRPr="004E6F49">
        <w:rPr>
          <w:sz w:val="24"/>
          <w:szCs w:val="24"/>
        </w:rPr>
        <w:t xml:space="preserve">Objednávka je účinná okamžikem zveřejnění v registru smluv. </w:t>
      </w:r>
      <w:r w:rsidR="00105E6A" w:rsidRPr="004E6F49">
        <w:rPr>
          <w:sz w:val="24"/>
          <w:szCs w:val="24"/>
        </w:rPr>
        <w:t>Objednatel je oprávněn 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6921E7B8" w:rsidR="000F1A3C" w:rsidRPr="004E6F49" w:rsidRDefault="000F1A3C" w:rsidP="00F42E23">
      <w:pPr>
        <w:jc w:val="both"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 xml:space="preserve">Záruční lhůta: </w:t>
      </w:r>
      <w:r w:rsidR="00054FD6" w:rsidRPr="004E6F49">
        <w:rPr>
          <w:sz w:val="24"/>
          <w:szCs w:val="24"/>
        </w:rPr>
        <w:t>dle Občanského zákoníku</w:t>
      </w:r>
    </w:p>
    <w:p w14:paraId="3DE3979E" w14:textId="3653D3C8" w:rsidR="00604890" w:rsidRPr="004E6F49" w:rsidRDefault="00604890" w:rsidP="00153D94">
      <w:pPr>
        <w:jc w:val="both"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>Objednáváme u Vás:</w:t>
      </w:r>
      <w:r w:rsidR="00453955" w:rsidRPr="004E6F49">
        <w:rPr>
          <w:b/>
          <w:sz w:val="24"/>
          <w:szCs w:val="24"/>
        </w:rPr>
        <w:t xml:space="preserve"> </w:t>
      </w:r>
      <w:r w:rsidR="00054FD6" w:rsidRPr="004E6F49">
        <w:rPr>
          <w:sz w:val="24"/>
          <w:szCs w:val="24"/>
        </w:rPr>
        <w:t xml:space="preserve">Repasportizaci vybraných objektů v rekonstruované trase – viz Příloha </w:t>
      </w:r>
      <w:proofErr w:type="gramStart"/>
      <w:r w:rsidR="00054FD6" w:rsidRPr="004E6F49">
        <w:rPr>
          <w:sz w:val="24"/>
          <w:szCs w:val="24"/>
        </w:rPr>
        <w:t>č.1</w:t>
      </w:r>
      <w:proofErr w:type="gramEnd"/>
    </w:p>
    <w:p w14:paraId="4B6DBF34" w14:textId="491B9964" w:rsidR="000F1A3C" w:rsidRPr="004E6F49" w:rsidRDefault="00604890" w:rsidP="000F1A3C">
      <w:pPr>
        <w:jc w:val="both"/>
        <w:rPr>
          <w:b/>
          <w:sz w:val="24"/>
          <w:szCs w:val="24"/>
          <w:u w:val="single"/>
        </w:rPr>
      </w:pPr>
      <w:r w:rsidRPr="004E6F49">
        <w:rPr>
          <w:b/>
          <w:sz w:val="24"/>
          <w:szCs w:val="24"/>
        </w:rPr>
        <w:t>Lhůta pro dodání či termín dodání:</w:t>
      </w:r>
      <w:r w:rsidR="00F73CB7" w:rsidRPr="004E6F49">
        <w:rPr>
          <w:b/>
          <w:sz w:val="24"/>
          <w:szCs w:val="24"/>
        </w:rPr>
        <w:t xml:space="preserve"> </w:t>
      </w:r>
      <w:r w:rsidR="00054FD6" w:rsidRPr="004E6F49">
        <w:rPr>
          <w:b/>
          <w:sz w:val="24"/>
          <w:szCs w:val="24"/>
          <w:u w:val="single"/>
        </w:rPr>
        <w:t>do 31. 12. 2019</w:t>
      </w:r>
    </w:p>
    <w:p w14:paraId="21A0252C" w14:textId="2FDCDBE3" w:rsidR="00604890" w:rsidRPr="004E6F49" w:rsidRDefault="00604890" w:rsidP="00153D94">
      <w:pPr>
        <w:jc w:val="both"/>
        <w:rPr>
          <w:sz w:val="24"/>
          <w:szCs w:val="24"/>
        </w:rPr>
      </w:pPr>
      <w:r w:rsidRPr="004E6F49">
        <w:rPr>
          <w:b/>
          <w:sz w:val="24"/>
          <w:szCs w:val="24"/>
        </w:rPr>
        <w:t>Celkov</w:t>
      </w:r>
      <w:r w:rsidR="000F1A3C" w:rsidRPr="004E6F49">
        <w:rPr>
          <w:b/>
          <w:sz w:val="24"/>
          <w:szCs w:val="24"/>
        </w:rPr>
        <w:t>á hodnota objednávky v Kč:</w:t>
      </w:r>
    </w:p>
    <w:p w14:paraId="0F101587" w14:textId="4BDC53BF" w:rsidR="000F1A3C" w:rsidRPr="004E6F4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 xml:space="preserve">Cena bez DPH:          </w:t>
      </w:r>
      <w:r w:rsidR="004E6F49">
        <w:rPr>
          <w:b/>
          <w:sz w:val="24"/>
          <w:szCs w:val="24"/>
        </w:rPr>
        <w:t xml:space="preserve">          </w:t>
      </w:r>
      <w:r w:rsidR="004E6F49" w:rsidRPr="004E6F49">
        <w:rPr>
          <w:b/>
          <w:sz w:val="24"/>
          <w:szCs w:val="24"/>
        </w:rPr>
        <w:t>159 800,- Kč</w:t>
      </w:r>
    </w:p>
    <w:p w14:paraId="77169A4E" w14:textId="77777777" w:rsidR="000F1A3C" w:rsidRPr="004E6F4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0C1C0F91" w:rsidR="000F1A3C" w:rsidRPr="004E6F4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 xml:space="preserve">DPH 21%:                  </w:t>
      </w:r>
      <w:r w:rsidR="004E6F49" w:rsidRPr="004E6F49">
        <w:rPr>
          <w:b/>
          <w:sz w:val="24"/>
          <w:szCs w:val="24"/>
        </w:rPr>
        <w:t xml:space="preserve">           </w:t>
      </w:r>
      <w:r w:rsidRPr="004E6F49">
        <w:rPr>
          <w:b/>
          <w:sz w:val="24"/>
          <w:szCs w:val="24"/>
        </w:rPr>
        <w:t xml:space="preserve"> </w:t>
      </w:r>
      <w:r w:rsidR="004E6F49" w:rsidRPr="004E6F49">
        <w:rPr>
          <w:b/>
          <w:sz w:val="24"/>
          <w:szCs w:val="24"/>
        </w:rPr>
        <w:t>33 558,- Kč</w:t>
      </w:r>
    </w:p>
    <w:p w14:paraId="3356FDB5" w14:textId="77777777" w:rsidR="000F1A3C" w:rsidRPr="004E6F4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1A948A99" w:rsidR="000F1A3C" w:rsidRPr="004E6F4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 xml:space="preserve">Cena celkem s DPH:  </w:t>
      </w:r>
      <w:r w:rsidR="004E6F49" w:rsidRPr="004E6F49">
        <w:rPr>
          <w:b/>
          <w:sz w:val="24"/>
          <w:szCs w:val="24"/>
        </w:rPr>
        <w:t xml:space="preserve">         193 358,- Kč</w:t>
      </w:r>
    </w:p>
    <w:p w14:paraId="35931061" w14:textId="77777777" w:rsidR="000F1A3C" w:rsidRPr="004E6F49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4E6F49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4E6F49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4E6F49">
        <w:rPr>
          <w:rFonts w:cs="Times New Roman"/>
          <w:sz w:val="24"/>
          <w:szCs w:val="24"/>
          <w:highlight w:val="black"/>
        </w:rPr>
        <w:t>.</w:t>
      </w:r>
      <w:r w:rsidR="000F1A3C" w:rsidRPr="004E6F49">
        <w:rPr>
          <w:rFonts w:cs="Times New Roman"/>
          <w:sz w:val="24"/>
          <w:szCs w:val="24"/>
        </w:rPr>
        <w:t xml:space="preserve"> </w:t>
      </w:r>
      <w:r w:rsidR="006024F2" w:rsidRPr="004E6F49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4E6F49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4E6F49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 xml:space="preserve">Nedílnou součástí této </w:t>
      </w:r>
      <w:r w:rsidR="00765848" w:rsidRPr="004E6F49">
        <w:rPr>
          <w:rFonts w:cs="Times New Roman"/>
          <w:sz w:val="24"/>
          <w:szCs w:val="24"/>
        </w:rPr>
        <w:t>objednávky</w:t>
      </w:r>
      <w:r w:rsidRPr="004E6F49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3C5782E1" w:rsidR="00282421" w:rsidRPr="004E6F49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>Příloha č. 1 – Specifikace služeb</w:t>
      </w:r>
    </w:p>
    <w:p w14:paraId="400A9C64" w14:textId="69BFD039" w:rsidR="00FD16D6" w:rsidRPr="004E6F49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>Příloha č. 2 – Položkový rozpis ceny</w:t>
      </w:r>
    </w:p>
    <w:p w14:paraId="48A05FB2" w14:textId="4F1B77C4" w:rsidR="00EC18C0" w:rsidRPr="004E6F49" w:rsidRDefault="00EC18C0" w:rsidP="00EC18C0">
      <w:pPr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 xml:space="preserve">V </w:t>
      </w:r>
      <w:r w:rsidR="000C7C3B" w:rsidRPr="004E6F49">
        <w:rPr>
          <w:rFonts w:cs="Times New Roman"/>
          <w:sz w:val="24"/>
          <w:szCs w:val="24"/>
        </w:rPr>
        <w:t>Plzni</w:t>
      </w:r>
      <w:r w:rsidRPr="004E6F49">
        <w:rPr>
          <w:rFonts w:cs="Times New Roman"/>
          <w:sz w:val="24"/>
          <w:szCs w:val="24"/>
        </w:rPr>
        <w:t xml:space="preserve"> dne </w:t>
      </w:r>
      <w:r w:rsidR="00054FD6" w:rsidRPr="004E6F49">
        <w:rPr>
          <w:rFonts w:cs="Times New Roman"/>
          <w:sz w:val="24"/>
          <w:szCs w:val="24"/>
        </w:rPr>
        <w:t xml:space="preserve"> </w:t>
      </w:r>
      <w:r w:rsidR="004E6F49">
        <w:rPr>
          <w:rFonts w:cs="Times New Roman"/>
          <w:sz w:val="24"/>
          <w:szCs w:val="24"/>
        </w:rPr>
        <w:t>01-11-2019</w:t>
      </w:r>
      <w:r w:rsidR="00054FD6" w:rsidRPr="004E6F49">
        <w:rPr>
          <w:rFonts w:cs="Times New Roman"/>
          <w:sz w:val="24"/>
          <w:szCs w:val="24"/>
        </w:rPr>
        <w:t xml:space="preserve">                              </w:t>
      </w:r>
      <w:r w:rsidR="004E6F49">
        <w:rPr>
          <w:rFonts w:cs="Times New Roman"/>
          <w:sz w:val="24"/>
          <w:szCs w:val="24"/>
        </w:rPr>
        <w:t xml:space="preserve">           </w:t>
      </w:r>
      <w:r w:rsidR="00054FD6" w:rsidRPr="004E6F49">
        <w:rPr>
          <w:rFonts w:cs="Times New Roman"/>
          <w:sz w:val="24"/>
          <w:szCs w:val="24"/>
        </w:rPr>
        <w:t xml:space="preserve">   </w:t>
      </w:r>
      <w:r w:rsidR="000C7C3B" w:rsidRPr="004E6F49">
        <w:rPr>
          <w:rFonts w:cs="Times New Roman"/>
          <w:sz w:val="24"/>
          <w:szCs w:val="24"/>
        </w:rPr>
        <w:t>V</w:t>
      </w:r>
      <w:r w:rsidR="004E6F49">
        <w:rPr>
          <w:rFonts w:cs="Times New Roman"/>
          <w:sz w:val="24"/>
          <w:szCs w:val="24"/>
        </w:rPr>
        <w:t> Plzni dne 01-11-2019</w:t>
      </w:r>
      <w:r w:rsidR="000C7C3B" w:rsidRPr="004E6F49">
        <w:rPr>
          <w:rFonts w:cs="Times New Roman"/>
          <w:sz w:val="24"/>
          <w:szCs w:val="24"/>
        </w:rPr>
        <w:t xml:space="preserve">      </w:t>
      </w:r>
    </w:p>
    <w:p w14:paraId="0B953F3C" w14:textId="4E886A69" w:rsidR="000C7C3B" w:rsidRPr="004E6F49" w:rsidRDefault="00EC18C0" w:rsidP="00EC18C0">
      <w:pPr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>Za Objednatele:</w:t>
      </w:r>
      <w:r w:rsidR="000C7C3B" w:rsidRPr="004E6F49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4E6F49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4E6F49" w:rsidRDefault="00EC18C0" w:rsidP="00EC18C0">
      <w:pPr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4E6F49" w:rsidRDefault="000C7C3B" w:rsidP="00EC18C0">
      <w:pPr>
        <w:jc w:val="both"/>
        <w:rPr>
          <w:rFonts w:cs="Times New Roman"/>
          <w:sz w:val="24"/>
          <w:szCs w:val="24"/>
        </w:rPr>
      </w:pPr>
      <w:r w:rsidRPr="004E6F49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1C502E54" w14:textId="1CFD9028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469012CA" w14:textId="77777777" w:rsidR="004E6F49" w:rsidRPr="004E6F49" w:rsidRDefault="004E6F49" w:rsidP="00EC18C0">
      <w:pPr>
        <w:jc w:val="both"/>
        <w:rPr>
          <w:rFonts w:cs="Times New Roman"/>
          <w:sz w:val="24"/>
          <w:szCs w:val="24"/>
        </w:rPr>
      </w:pPr>
    </w:p>
    <w:p w14:paraId="6DA713C3" w14:textId="1544ADAE" w:rsidR="00EC18C0" w:rsidRPr="004E6F49" w:rsidRDefault="00EC18C0" w:rsidP="00EC18C0">
      <w:pPr>
        <w:jc w:val="both"/>
        <w:rPr>
          <w:rFonts w:cs="Times New Roman"/>
          <w:sz w:val="24"/>
          <w:szCs w:val="24"/>
        </w:rPr>
      </w:pPr>
    </w:p>
    <w:p w14:paraId="6D8EA93F" w14:textId="41951C77" w:rsidR="000C7C3B" w:rsidRPr="004E6F49" w:rsidRDefault="000C7C3B" w:rsidP="00EC18C0">
      <w:pPr>
        <w:jc w:val="both"/>
        <w:rPr>
          <w:rFonts w:cs="Times New Roman"/>
          <w:sz w:val="24"/>
          <w:szCs w:val="24"/>
        </w:rPr>
      </w:pPr>
    </w:p>
    <w:p w14:paraId="1071D800" w14:textId="77777777" w:rsidR="00054FD6" w:rsidRPr="004E6F49" w:rsidRDefault="00054FD6" w:rsidP="00EC18C0">
      <w:pPr>
        <w:jc w:val="both"/>
        <w:rPr>
          <w:rFonts w:cs="Times New Roman"/>
          <w:sz w:val="24"/>
          <w:szCs w:val="24"/>
        </w:rPr>
      </w:pPr>
    </w:p>
    <w:p w14:paraId="55636593" w14:textId="64EFA2B1" w:rsidR="000C7C3B" w:rsidRPr="004E6F4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4E6F49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1DD700C0" w14:textId="77777777" w:rsidR="00054FD6" w:rsidRPr="004E6F49" w:rsidRDefault="00054FD6" w:rsidP="00A40B1F">
      <w:pPr>
        <w:tabs>
          <w:tab w:val="left" w:pos="540"/>
        </w:tabs>
        <w:spacing w:after="0"/>
        <w:ind w:left="540" w:hanging="540"/>
        <w:jc w:val="both"/>
        <w:rPr>
          <w:sz w:val="24"/>
          <w:szCs w:val="24"/>
        </w:rPr>
      </w:pPr>
      <w:r w:rsidRPr="004E6F49">
        <w:rPr>
          <w:sz w:val="24"/>
          <w:szCs w:val="24"/>
        </w:rPr>
        <w:t xml:space="preserve">Podrobný popis předmětu smlouvy: </w:t>
      </w:r>
    </w:p>
    <w:p w14:paraId="4C2A5DE0" w14:textId="2AAF95F9" w:rsidR="00054FD6" w:rsidRPr="004E6F49" w:rsidRDefault="00054FD6" w:rsidP="00A40B1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E6F49">
        <w:rPr>
          <w:sz w:val="24"/>
          <w:szCs w:val="24"/>
        </w:rPr>
        <w:t>Repasportizace vybraných objektů v rekonstruované trase Jedná se o podrobné zdokumentování aktuálního stavebního stavu, zachycení poruch a defektů ve stavebních konstrukcích objektů, po ukončení stavby (foto + popis). Repasportizace těchto objektů bude provedena v tomto rozsahu: Repasportizace 18 objektů v rozsahu fasád a oplocení k rekonstruované komunikaci, bez kontaktu s majitelem a 5 objektů oplocení k rekonstruované ulici.</w:t>
      </w:r>
    </w:p>
    <w:p w14:paraId="1060478C" w14:textId="7F73169D" w:rsidR="00054FD6" w:rsidRPr="004E6F49" w:rsidRDefault="00054FD6" w:rsidP="00054F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E6F49">
        <w:rPr>
          <w:sz w:val="24"/>
          <w:szCs w:val="24"/>
        </w:rPr>
        <w:t xml:space="preserve">  1/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35</w:t>
      </w:r>
    </w:p>
    <w:p w14:paraId="58A59249" w14:textId="6AB9019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2/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37</w:t>
      </w:r>
    </w:p>
    <w:p w14:paraId="62E9DED9" w14:textId="155E4948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3/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38</w:t>
      </w:r>
    </w:p>
    <w:p w14:paraId="41170CFD" w14:textId="1F66818F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4/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39</w:t>
      </w:r>
    </w:p>
    <w:p w14:paraId="2C5A1DCD" w14:textId="16B25E65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5/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43</w:t>
      </w:r>
    </w:p>
    <w:p w14:paraId="18361DC9" w14:textId="3752188E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6/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53</w:t>
      </w:r>
    </w:p>
    <w:p w14:paraId="6F217977" w14:textId="45AC992C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7/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50</w:t>
      </w:r>
    </w:p>
    <w:p w14:paraId="723DB513" w14:textId="784B138F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8/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20 (jen plot)</w:t>
      </w:r>
    </w:p>
    <w:p w14:paraId="44589B01" w14:textId="382E5C0E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  9/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15</w:t>
      </w:r>
    </w:p>
    <w:p w14:paraId="163F4E02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10/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33</w:t>
      </w:r>
    </w:p>
    <w:p w14:paraId="15A051A2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11/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26</w:t>
      </w:r>
    </w:p>
    <w:p w14:paraId="42688274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12/ Neznašovy bez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(jen plot)</w:t>
      </w:r>
    </w:p>
    <w:p w14:paraId="3E61645F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13/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16</w:t>
      </w:r>
    </w:p>
    <w:p w14:paraId="39546E3F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14/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28</w:t>
      </w:r>
    </w:p>
    <w:p w14:paraId="771649A4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15/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27</w:t>
      </w:r>
    </w:p>
    <w:p w14:paraId="2D1401DB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16/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60 (jen plot)</w:t>
      </w:r>
    </w:p>
    <w:p w14:paraId="7397E9F9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17/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19 (jen plot)</w:t>
      </w:r>
    </w:p>
    <w:p w14:paraId="25F7F73C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18/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31 (jen plot)</w:t>
      </w:r>
    </w:p>
    <w:p w14:paraId="34D4835A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19/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34</w:t>
      </w:r>
    </w:p>
    <w:p w14:paraId="57BFE345" w14:textId="77777777" w:rsidR="00054FD6" w:rsidRPr="004E6F49" w:rsidRDefault="00054FD6" w:rsidP="00054FD6">
      <w:pPr>
        <w:spacing w:after="0"/>
        <w:jc w:val="both"/>
        <w:rPr>
          <w:sz w:val="24"/>
          <w:szCs w:val="24"/>
        </w:rPr>
      </w:pPr>
      <w:r w:rsidRPr="004E6F49">
        <w:rPr>
          <w:sz w:val="24"/>
          <w:szCs w:val="24"/>
        </w:rPr>
        <w:t xml:space="preserve">20/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42</w:t>
      </w:r>
    </w:p>
    <w:p w14:paraId="777EA428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21/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48</w:t>
      </w:r>
    </w:p>
    <w:p w14:paraId="506C876B" w14:textId="77777777" w:rsidR="00054FD6" w:rsidRPr="004E6F49" w:rsidRDefault="00054FD6" w:rsidP="00054FD6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E6F49">
        <w:rPr>
          <w:sz w:val="24"/>
          <w:szCs w:val="24"/>
        </w:rPr>
        <w:t xml:space="preserve">22/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49</w:t>
      </w:r>
    </w:p>
    <w:p w14:paraId="7FF35E32" w14:textId="05941595" w:rsidR="00054FD6" w:rsidRPr="004E6F49" w:rsidRDefault="00054FD6" w:rsidP="00054FD6">
      <w:pPr>
        <w:spacing w:after="0"/>
        <w:jc w:val="both"/>
        <w:rPr>
          <w:sz w:val="24"/>
          <w:szCs w:val="24"/>
        </w:rPr>
      </w:pPr>
      <w:r w:rsidRPr="004E6F49">
        <w:rPr>
          <w:sz w:val="24"/>
          <w:szCs w:val="24"/>
        </w:rPr>
        <w:t xml:space="preserve">23/ Neznašovy </w:t>
      </w:r>
      <w:proofErr w:type="gramStart"/>
      <w:r w:rsidRPr="004E6F49">
        <w:rPr>
          <w:sz w:val="24"/>
          <w:szCs w:val="24"/>
        </w:rPr>
        <w:t>č.p.</w:t>
      </w:r>
      <w:proofErr w:type="gramEnd"/>
      <w:r w:rsidRPr="004E6F49">
        <w:rPr>
          <w:sz w:val="24"/>
          <w:szCs w:val="24"/>
        </w:rPr>
        <w:t xml:space="preserve"> 52</w:t>
      </w:r>
    </w:p>
    <w:p w14:paraId="3E2418FE" w14:textId="3AD18F8D" w:rsidR="00054FD6" w:rsidRPr="004E6F49" w:rsidRDefault="00054FD6" w:rsidP="00054FD6">
      <w:pPr>
        <w:jc w:val="both"/>
        <w:rPr>
          <w:sz w:val="24"/>
          <w:szCs w:val="24"/>
        </w:rPr>
      </w:pPr>
      <w:r w:rsidRPr="004E6F49">
        <w:rPr>
          <w:sz w:val="24"/>
          <w:szCs w:val="24"/>
        </w:rPr>
        <w:t>Místo plnění: sil. I/27, okr. Klatovy, km 179,424 – 180,398</w:t>
      </w:r>
    </w:p>
    <w:p w14:paraId="09DFAACF" w14:textId="4246E4E7" w:rsidR="00054FD6" w:rsidRPr="004E6F49" w:rsidRDefault="00054FD6" w:rsidP="00054FD6">
      <w:pPr>
        <w:autoSpaceDE w:val="0"/>
        <w:autoSpaceDN w:val="0"/>
        <w:adjustRightInd w:val="0"/>
        <w:rPr>
          <w:b/>
          <w:sz w:val="24"/>
          <w:szCs w:val="24"/>
        </w:rPr>
      </w:pPr>
      <w:r w:rsidRPr="004E6F49">
        <w:rPr>
          <w:sz w:val="24"/>
          <w:szCs w:val="24"/>
        </w:rPr>
        <w:t xml:space="preserve">Výstupem z Repasportizace bude </w:t>
      </w:r>
      <w:r w:rsidRPr="004E6F49">
        <w:rPr>
          <w:b/>
          <w:sz w:val="24"/>
          <w:szCs w:val="24"/>
        </w:rPr>
        <w:t>barevná foto dokumentace každého objektu zvlášť vč. popisu zjištěných poruch v tištěné (2 paré) a digitální (1xCD) podobě.</w:t>
      </w:r>
    </w:p>
    <w:p w14:paraId="34C85520" w14:textId="481A608A" w:rsidR="00054FD6" w:rsidRPr="004E6F49" w:rsidRDefault="00054FD6" w:rsidP="00054FD6">
      <w:pPr>
        <w:autoSpaceDE w:val="0"/>
        <w:autoSpaceDN w:val="0"/>
        <w:adjustRightInd w:val="0"/>
        <w:rPr>
          <w:b/>
          <w:sz w:val="24"/>
          <w:szCs w:val="24"/>
        </w:rPr>
      </w:pPr>
      <w:r w:rsidRPr="004E6F49">
        <w:rPr>
          <w:b/>
          <w:sz w:val="24"/>
          <w:szCs w:val="24"/>
        </w:rPr>
        <w:t>Soupis prací: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06"/>
        <w:gridCol w:w="1019"/>
        <w:gridCol w:w="966"/>
        <w:gridCol w:w="1417"/>
        <w:gridCol w:w="1560"/>
      </w:tblGrid>
      <w:tr w:rsidR="00054FD6" w:rsidRPr="004E6F49" w14:paraId="737862E1" w14:textId="77777777" w:rsidTr="00054FD6">
        <w:trPr>
          <w:trHeight w:val="25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B358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D9AA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Předmět </w:t>
            </w:r>
            <w:proofErr w:type="spellStart"/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činosti</w:t>
            </w:r>
            <w:proofErr w:type="spellEnd"/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060E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39E0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D0FCB2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2CF4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</w:tr>
      <w:tr w:rsidR="00054FD6" w:rsidRPr="004E6F49" w14:paraId="6F6D7B5E" w14:textId="77777777" w:rsidTr="004C31A6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5490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F7D9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Uliční fasáda včetně oplocení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F0A16" w14:textId="0F6E6F8F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2C80F" w14:textId="4C485EEC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361A7A9" w14:textId="70281206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9F1CA" w14:textId="5C6D822E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4FD6" w:rsidRPr="004E6F49" w14:paraId="78750107" w14:textId="77777777" w:rsidTr="004C31A6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ACB3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2A12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Uliční oplocení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29C40" w14:textId="1BBEC146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1276E" w14:textId="78241822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A427B2E" w14:textId="0041D20E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C73D9" w14:textId="1ABA830A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4FD6" w:rsidRPr="004E6F49" w14:paraId="2BA14C07" w14:textId="77777777" w:rsidTr="004C31A6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6866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D876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Zpracování závěrečné zprávy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704AE" w14:textId="6A229A24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B4A93" w14:textId="032629EA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58A831" w14:textId="009F87B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941E2" w14:textId="0009521B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4FD6" w:rsidRPr="004E6F49" w14:paraId="6650EE8A" w14:textId="77777777" w:rsidTr="004C31A6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629C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F21D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9E42F" w14:textId="21CB0891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3818B" w14:textId="7275870E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7A42" w14:textId="6E028A03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7DCDC" w14:textId="4C803874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4FD6" w:rsidRPr="004E6F49" w14:paraId="30F74048" w14:textId="77777777" w:rsidTr="004C31A6">
        <w:trPr>
          <w:trHeight w:val="25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C0ADC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74E3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bez DPH dle platných předpisů - mezisoučet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5EF93" w14:textId="7FDBBEDC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49C56" w14:textId="3E773FEA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7CE8972" w14:textId="7B92814C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BE46F" w14:textId="05146C7C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54FD6" w:rsidRPr="004E6F49" w14:paraId="55FB8328" w14:textId="77777777" w:rsidTr="00054FD6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C859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CF08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316F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4CC3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C9BBA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EDB9B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54FD6" w:rsidRPr="004E6F49" w14:paraId="1EB00A98" w14:textId="77777777" w:rsidTr="00054FD6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368B4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8CB2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5133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BE68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46946A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8916F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054FD6" w:rsidRPr="004E6F49" w14:paraId="691BEB39" w14:textId="77777777" w:rsidTr="00054FD6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36B1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1D76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06B1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9170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E470F" w14:textId="77777777" w:rsidR="00054FD6" w:rsidRPr="004E6F49" w:rsidRDefault="00054FD6" w:rsidP="00054F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EE53" w14:textId="77777777" w:rsidR="00054FD6" w:rsidRPr="004E6F49" w:rsidRDefault="00054FD6" w:rsidP="00054F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</w:tr>
    </w:tbl>
    <w:p w14:paraId="1F70C98C" w14:textId="08411BEF" w:rsidR="000C7C3B" w:rsidRPr="004E6F49" w:rsidRDefault="000C7C3B" w:rsidP="00054FD6">
      <w:pPr>
        <w:jc w:val="both"/>
        <w:outlineLvl w:val="0"/>
        <w:rPr>
          <w:sz w:val="24"/>
          <w:szCs w:val="24"/>
        </w:rPr>
      </w:pPr>
    </w:p>
    <w:p w14:paraId="5B50CCC6" w14:textId="77777777" w:rsidR="000C7C3B" w:rsidRP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4E6F49">
        <w:rPr>
          <w:rFonts w:cs="Times New Roman"/>
          <w:b/>
          <w:sz w:val="36"/>
          <w:szCs w:val="36"/>
          <w:u w:val="single"/>
        </w:rPr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tbl>
      <w:tblPr>
        <w:tblW w:w="9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3685"/>
        <w:gridCol w:w="1019"/>
        <w:gridCol w:w="966"/>
        <w:gridCol w:w="1417"/>
        <w:gridCol w:w="1560"/>
      </w:tblGrid>
      <w:tr w:rsidR="004C31A6" w:rsidRPr="004E6F49" w14:paraId="2B687443" w14:textId="77777777" w:rsidTr="004C31A6">
        <w:trPr>
          <w:trHeight w:val="25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DD158" w14:textId="0E4B5EF6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04E7E7" w14:textId="4A708B68" w:rsidR="004C31A6" w:rsidRPr="004E6F49" w:rsidRDefault="004C31A6" w:rsidP="002862A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Předmět čin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</w:t>
            </w: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osti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12E9C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A5D828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626D4C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07AC43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</w:tr>
      <w:tr w:rsidR="004C31A6" w:rsidRPr="004E6F49" w14:paraId="23AEEA99" w14:textId="77777777" w:rsidTr="004C31A6">
        <w:trPr>
          <w:trHeight w:val="255"/>
        </w:trPr>
        <w:tc>
          <w:tcPr>
            <w:tcW w:w="863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40F3CC" w14:textId="4E75E0DA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REPAS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C190" w14:textId="77777777" w:rsidR="004C31A6" w:rsidRPr="004E6F49" w:rsidRDefault="004C31A6" w:rsidP="002862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Uliční fasáda včetně oplocení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F6CBC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B1D58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91A9E4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F391C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C31A6" w:rsidRPr="004E6F49" w14:paraId="4A909D8E" w14:textId="77777777" w:rsidTr="004C31A6">
        <w:trPr>
          <w:trHeight w:val="255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86ABA24" w14:textId="74C23329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A04B" w14:textId="77777777" w:rsidR="004C31A6" w:rsidRPr="004E6F49" w:rsidRDefault="004C31A6" w:rsidP="002862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Uliční oplocení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90CFA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3A158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1E1A00F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394A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C31A6" w:rsidRPr="004E6F49" w14:paraId="26118C2B" w14:textId="77777777" w:rsidTr="004C31A6">
        <w:trPr>
          <w:trHeight w:val="25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8F929FA" w14:textId="5931A6A0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2A0B" w14:textId="77777777" w:rsidR="004C31A6" w:rsidRPr="004E6F49" w:rsidRDefault="004C31A6" w:rsidP="002862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Zpracování závěrečné zprávy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5DA1D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D5696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2FA057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7205F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C31A6" w:rsidRPr="004E6F49" w14:paraId="74309D14" w14:textId="77777777" w:rsidTr="004C31A6">
        <w:trPr>
          <w:trHeight w:val="270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B152E" w14:textId="77777777" w:rsidR="004C31A6" w:rsidRPr="004E6F49" w:rsidRDefault="004C31A6" w:rsidP="002862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4B19" w14:textId="77777777" w:rsidR="004C31A6" w:rsidRPr="004E6F49" w:rsidRDefault="004C31A6" w:rsidP="002862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E6F4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5B934" w14:textId="77777777" w:rsidR="004C31A6" w:rsidRPr="004E6F49" w:rsidRDefault="004C31A6" w:rsidP="002862A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EBF6E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BA00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66014" w14:textId="77777777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C31A6" w:rsidRPr="004E6F49" w14:paraId="22A81062" w14:textId="77777777" w:rsidTr="004C31A6">
        <w:trPr>
          <w:trHeight w:val="751"/>
        </w:trPr>
        <w:tc>
          <w:tcPr>
            <w:tcW w:w="79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67FF" w14:textId="364C79AB" w:rsidR="004C31A6" w:rsidRPr="004C31A6" w:rsidRDefault="004C31A6" w:rsidP="004C31A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C E L K E M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1521D" w14:textId="10EA59C5" w:rsidR="004C31A6" w:rsidRPr="004E6F49" w:rsidRDefault="004C31A6" w:rsidP="002862A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159 800</w:t>
            </w:r>
          </w:p>
        </w:tc>
      </w:tr>
    </w:tbl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</w:p>
    <w:sectPr w:rsidR="000C7C3B" w:rsidRPr="000C7C8D" w:rsidSect="00054FD6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B995" w14:textId="7CAF0B18" w:rsidR="008E3E46" w:rsidRDefault="008E3E46">
    <w:pPr>
      <w:pStyle w:val="Zpat"/>
      <w:jc w:val="center"/>
    </w:pPr>
  </w:p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56830DCE" w:rsidR="00EC18C0" w:rsidRPr="004E6F49" w:rsidRDefault="00EC18C0" w:rsidP="004E6F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1AFD"/>
    <w:multiLevelType w:val="hybridMultilevel"/>
    <w:tmpl w:val="CCE2B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4FD6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594D"/>
    <w:rsid w:val="004B1430"/>
    <w:rsid w:val="004C31A6"/>
    <w:rsid w:val="004D5C72"/>
    <w:rsid w:val="004E6F49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BA4"/>
    <w:rsid w:val="00A40B1F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95057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vydra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808A-3D6D-4A80-8BF0-40153A46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2019-11-01T12:44:00Z</dcterms:created>
  <dcterms:modified xsi:type="dcterms:W3CDTF">2019-11-01T13:00:00Z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