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="9086" w:h="3900" w:hRule="exact" w:wrap="none" w:vAnchor="page" w:hAnchor="page" w:x="1480" w:y="1312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č. 43 / 2019</w:t>
      </w:r>
      <w:bookmarkEnd w:id="0"/>
    </w:p>
    <w:p>
      <w:pPr>
        <w:pStyle w:val="Style4"/>
        <w:framePr w:w="9086" w:h="3900" w:hRule="exact" w:wrap="none" w:vAnchor="page" w:hAnchor="page" w:x="1480" w:y="1312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podnájmu nebytových prostor uzavřená podle zákona Č. 89/2012 Sb.,</w:t>
      </w:r>
      <w:bookmarkEnd w:id="1"/>
    </w:p>
    <w:p>
      <w:pPr>
        <w:pStyle w:val="Style4"/>
        <w:framePr w:w="9086" w:h="3900" w:hRule="exact" w:wrap="none" w:vAnchor="page" w:hAnchor="page" w:x="1480" w:y="1312"/>
        <w:widowControl w:val="0"/>
        <w:keepNext w:val="0"/>
        <w:keepLines w:val="0"/>
        <w:shd w:val="clear" w:color="auto" w:fill="auto"/>
        <w:bidi w:val="0"/>
        <w:spacing w:before="0" w:after="289"/>
        <w:ind w:left="20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občanského zákoníku</w:t>
      </w:r>
      <w:bookmarkEnd w:id="2"/>
    </w:p>
    <w:p>
      <w:pPr>
        <w:pStyle w:val="Style6"/>
        <w:framePr w:w="9086" w:h="3900" w:hRule="exact" w:wrap="none" w:vAnchor="page" w:hAnchor="page" w:x="1480" w:y="1312"/>
        <w:tabs>
          <w:tab w:leader="none" w:pos="25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5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Základní škola a Mateřská škola Věry Čáslavské, Praha 6 </w:t>
      </w:r>
      <w:r>
        <w:rPr>
          <w:rStyle w:val="CharStyle8"/>
          <w:b w:val="0"/>
          <w:bCs w:val="0"/>
        </w:rPr>
        <w:t>se sídlem:</w:t>
        <w:tab/>
        <w:t>Praha 6 - Břevnov, Šantrochova 2/1800</w:t>
      </w:r>
    </w:p>
    <w:p>
      <w:pPr>
        <w:pStyle w:val="Style6"/>
        <w:framePr w:w="9086" w:h="3900" w:hRule="exact" w:wrap="none" w:vAnchor="page" w:hAnchor="page" w:x="1480" w:y="1312"/>
        <w:tabs>
          <w:tab w:leader="none" w:pos="258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8"/>
          <w:b w:val="0"/>
          <w:bCs w:val="0"/>
        </w:rPr>
        <w:t>zastoupená:</w:t>
        <w:tab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Mgr. Helenou Patákovou, ředitelkou školy</w:t>
      </w:r>
    </w:p>
    <w:p>
      <w:pPr>
        <w:pStyle w:val="Style9"/>
        <w:framePr w:w="9086" w:h="3900" w:hRule="exact" w:wrap="none" w:vAnchor="page" w:hAnchor="page" w:x="1480" w:y="1312"/>
        <w:tabs>
          <w:tab w:leader="none" w:pos="258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  <w:tab/>
        <w:t>48133779</w:t>
      </w:r>
    </w:p>
    <w:p>
      <w:pPr>
        <w:pStyle w:val="Style9"/>
        <w:framePr w:w="9086" w:h="3900" w:hRule="exact" w:wrap="none" w:vAnchor="page" w:hAnchor="page" w:x="1480" w:y="1312"/>
        <w:widowControl w:val="0"/>
        <w:keepNext w:val="0"/>
        <w:keepLines w:val="0"/>
        <w:shd w:val="clear" w:color="auto" w:fill="auto"/>
        <w:bidi w:val="0"/>
        <w:spacing w:before="0" w:after="256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ZŠ je plátcem DPH</w:t>
      </w:r>
    </w:p>
    <w:p>
      <w:pPr>
        <w:pStyle w:val="Style9"/>
        <w:framePr w:w="9086" w:h="3900" w:hRule="exact" w:wrap="none" w:vAnchor="page" w:hAnchor="page" w:x="1480" w:y="131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Zapsaná: v RES dne 1.1.1993</w:t>
      </w:r>
    </w:p>
    <w:p>
      <w:pPr>
        <w:pStyle w:val="Style9"/>
        <w:framePr w:w="9086" w:h="3900" w:hRule="exact" w:wrap="none" w:vAnchor="page" w:hAnchor="page" w:x="1480" w:y="131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21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spojení, č. účtu: Komerční banka, a. s., č. účtu 3030061/0100 (dále jen podnajímatel)</w:t>
      </w:r>
    </w:p>
    <w:p>
      <w:pPr>
        <w:pStyle w:val="Style9"/>
        <w:framePr w:w="1757" w:h="1162" w:hRule="exact" w:wrap="none" w:vAnchor="page" w:hAnchor="page" w:x="1489" w:y="56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osoba: se sídlem: zastoupená:</w:t>
      </w:r>
    </w:p>
    <w:p>
      <w:pPr>
        <w:pStyle w:val="Style9"/>
        <w:framePr w:w="1757" w:h="1162" w:hRule="exact" w:wrap="none" w:vAnchor="page" w:hAnchor="page" w:x="1489" w:y="56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IČ:</w:t>
      </w:r>
    </w:p>
    <w:p>
      <w:pPr>
        <w:pStyle w:val="Style9"/>
        <w:framePr w:w="9086" w:h="1176" w:hRule="exact" w:wrap="none" w:vAnchor="page" w:hAnchor="page" w:x="1480" w:y="5681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78" w:right="21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Taekwon-do I.T.F. Sonkal Praha z.s.</w:t>
        <w:br/>
        <w:t>Jiránkova 1137/1, Praha 6, 163 00</w:t>
        <w:br/>
        <w:t>Ondřejem Vrábelem,</w:t>
      </w:r>
    </w:p>
    <w:p>
      <w:pPr>
        <w:pStyle w:val="Style9"/>
        <w:framePr w:w="9086" w:h="1176" w:hRule="exact" w:wrap="none" w:vAnchor="page" w:hAnchor="page" w:x="1480" w:y="5681"/>
        <w:widowControl w:val="0"/>
        <w:keepNext w:val="0"/>
        <w:keepLines w:val="0"/>
        <w:shd w:val="clear" w:color="auto" w:fill="auto"/>
        <w:bidi w:val="0"/>
        <w:spacing w:before="0" w:after="0"/>
        <w:ind w:left="2678" w:right="2741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68379391</w:t>
      </w:r>
    </w:p>
    <w:p>
      <w:pPr>
        <w:pStyle w:val="Style9"/>
        <w:framePr w:w="9086" w:h="1177" w:hRule="exact" w:wrap="none" w:vAnchor="page" w:hAnchor="page" w:x="1480" w:y="679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560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Právnická osoba není plátcem DPH Zapsaná: RES dne 10. 6. 1998</w:t>
      </w:r>
    </w:p>
    <w:p>
      <w:pPr>
        <w:pStyle w:val="Style9"/>
        <w:framePr w:w="9086" w:h="1177" w:hRule="exact" w:wrap="none" w:vAnchor="page" w:hAnchor="page" w:x="1480" w:y="6790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304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spojení, číslo účtu: Fio banka, č.ú. 189640131/2010 (dále jen podnájemce)</w:t>
      </w:r>
    </w:p>
    <w:p>
      <w:pPr>
        <w:pStyle w:val="Style11"/>
        <w:framePr w:w="9086" w:h="3299" w:hRule="exact" w:wrap="none" w:vAnchor="page" w:hAnchor="page" w:x="1480" w:y="8414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uzavírají</w:t>
      </w:r>
    </w:p>
    <w:p>
      <w:pPr>
        <w:pStyle w:val="Style9"/>
        <w:framePr w:w="9086" w:h="3299" w:hRule="exact" w:wrap="none" w:vAnchor="page" w:hAnchor="page" w:x="1480" w:y="8414"/>
        <w:widowControl w:val="0"/>
        <w:keepNext w:val="0"/>
        <w:keepLines w:val="0"/>
        <w:shd w:val="clear" w:color="auto" w:fill="auto"/>
        <w:bidi w:val="0"/>
        <w:jc w:val="left"/>
        <w:spacing w:before="0" w:after="254" w:line="266" w:lineRule="exact"/>
        <w:ind w:left="660" w:right="0" w:hanging="3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tuto podnájemní smlouvu o dočasném užívání prostor školy na dobu nejdéle jednoho roku.</w:t>
      </w:r>
    </w:p>
    <w:p>
      <w:pPr>
        <w:pStyle w:val="Style13"/>
        <w:framePr w:w="9086" w:h="3299" w:hRule="exact" w:wrap="none" w:vAnchor="page" w:hAnchor="page" w:x="1480" w:y="84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58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ČI.I</w:t>
      </w:r>
    </w:p>
    <w:p>
      <w:pPr>
        <w:pStyle w:val="Style9"/>
        <w:numPr>
          <w:ilvl w:val="0"/>
          <w:numId w:val="1"/>
        </w:numPr>
        <w:framePr w:w="9086" w:h="3299" w:hRule="exact" w:wrap="none" w:vAnchor="page" w:hAnchor="page" w:x="1480" w:y="8414"/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4"/>
        <w:ind w:left="660" w:right="0" w:hanging="3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prohlašuje, že je v souladu se smlouvou o nájmu nemovitosti uzavřenou dne 12. 9. 2005 s Městskou částí Praha 6 oprávněn podnajímat níže uvedené prostory.</w:t>
      </w:r>
    </w:p>
    <w:p>
      <w:pPr>
        <w:pStyle w:val="Style9"/>
        <w:numPr>
          <w:ilvl w:val="0"/>
          <w:numId w:val="1"/>
        </w:numPr>
        <w:framePr w:w="9086" w:h="3299" w:hRule="exact" w:wrap="none" w:vAnchor="page" w:hAnchor="page" w:x="1480" w:y="8414"/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60" w:line="269" w:lineRule="exact"/>
        <w:ind w:left="660" w:right="0" w:hanging="3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a podnájemce uzavírají tuto podnájemní smlouvu o dočasném užívání Níže uvedených prostor v Základní škole a Mateřské škole Věry Čáslavské, Praha 6.</w:t>
      </w:r>
    </w:p>
    <w:p>
      <w:pPr>
        <w:pStyle w:val="Style9"/>
        <w:numPr>
          <w:ilvl w:val="0"/>
          <w:numId w:val="1"/>
        </w:numPr>
        <w:framePr w:w="9086" w:h="3299" w:hRule="exact" w:wrap="none" w:vAnchor="page" w:hAnchor="page" w:x="1480" w:y="8414"/>
        <w:tabs>
          <w:tab w:leader="none" w:pos="70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660" w:right="0" w:hanging="34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Podnajímány jsou tyto prostory: velká tělocvična o výměře 288m2 a prostory šatny, sprchy a sociální zařízení k tomu přináležející o celkové výměře 40m2</w:t>
      </w:r>
    </w:p>
    <w:p>
      <w:pPr>
        <w:pStyle w:val="Style9"/>
        <w:framePr w:wrap="none" w:vAnchor="page" w:hAnchor="page" w:x="1480" w:y="12474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6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Výše uvedené prostory budou užívány podnájemcem v době:</w:t>
      </w:r>
    </w:p>
    <w:p>
      <w:pPr>
        <w:pStyle w:val="Style6"/>
        <w:framePr w:w="821" w:h="597" w:hRule="exact" w:wrap="none" w:vAnchor="page" w:hAnchor="page" w:x="3328" w:y="1401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Pondělí</w:t>
      </w:r>
    </w:p>
    <w:p>
      <w:pPr>
        <w:pStyle w:val="Style6"/>
        <w:framePr w:w="821" w:h="597" w:hRule="exact" w:wrap="none" w:vAnchor="page" w:hAnchor="page" w:x="3328" w:y="1401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Středa</w:t>
      </w:r>
    </w:p>
    <w:p>
      <w:pPr>
        <w:pStyle w:val="Style6"/>
        <w:framePr w:w="9086" w:h="595" w:hRule="exact" w:wrap="none" w:vAnchor="page" w:hAnchor="page" w:x="1480" w:y="14011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3796" w:right="382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17:00 -20:00 h</w:t>
        <w:br/>
        <w:t>17:00 -20:00 h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framePr w:w="9989" w:h="585" w:hRule="exact" w:wrap="none" w:vAnchor="page" w:hAnchor="page" w:x="1028" w:y="1345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66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Doba podnájmu se sjednává na dobu určitou </w:t>
      </w:r>
      <w:r>
        <w:rPr>
          <w:rStyle w:val="CharStyle15"/>
        </w:rPr>
        <w:t xml:space="preserve">1.10. do 19. 6. 2019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 výjimkou státních svátků, prázdnin a dnů ředitelského volna.</w:t>
      </w:r>
    </w:p>
    <w:p>
      <w:pPr>
        <w:pStyle w:val="Style9"/>
        <w:framePr w:w="9989" w:h="1159" w:hRule="exact" w:wrap="none" w:vAnchor="page" w:hAnchor="page" w:x="1028" w:y="2173"/>
        <w:widowControl w:val="0"/>
        <w:keepNext w:val="0"/>
        <w:keepLines w:val="0"/>
        <w:shd w:val="clear" w:color="auto" w:fill="auto"/>
        <w:bidi w:val="0"/>
        <w:jc w:val="left"/>
        <w:spacing w:before="0" w:after="262" w:line="266" w:lineRule="exact"/>
        <w:ind w:left="4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III</w:t>
      </w:r>
    </w:p>
    <w:p>
      <w:pPr>
        <w:pStyle w:val="Style9"/>
        <w:framePr w:w="9989" w:h="1159" w:hRule="exact" w:wrap="none" w:vAnchor="page" w:hAnchor="page" w:x="1028" w:y="2173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1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shora vymezené prostory užívat pouze za účelem konání výuky taekwon-da.</w:t>
      </w:r>
    </w:p>
    <w:p>
      <w:pPr>
        <w:pStyle w:val="Style9"/>
        <w:framePr w:w="9989" w:h="879" w:hRule="exact" w:wrap="none" w:vAnchor="page" w:hAnchor="page" w:x="1028" w:y="4099"/>
        <w:widowControl w:val="0"/>
        <w:keepNext w:val="0"/>
        <w:keepLines w:val="0"/>
        <w:shd w:val="clear" w:color="auto" w:fill="auto"/>
        <w:bidi w:val="0"/>
        <w:jc w:val="left"/>
        <w:spacing w:before="0" w:after="280" w:line="266" w:lineRule="exact"/>
        <w:ind w:left="40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IV</w:t>
      </w:r>
    </w:p>
    <w:p>
      <w:pPr>
        <w:pStyle w:val="Style9"/>
        <w:numPr>
          <w:ilvl w:val="0"/>
          <w:numId w:val="3"/>
        </w:numPr>
        <w:framePr w:w="9989" w:h="879" w:hRule="exact" w:wrap="none" w:vAnchor="page" w:hAnchor="page" w:x="1028" w:y="4099"/>
        <w:tabs>
          <w:tab w:leader="none" w:pos="5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 uhradit částku za podnájem dle tabulky.</w:t>
      </w:r>
    </w:p>
    <w:tbl>
      <w:tblPr>
        <w:tblOverlap w:val="never"/>
        <w:tblLayout w:type="fixed"/>
        <w:jc w:val="left"/>
      </w:tblPr>
      <w:tblGrid>
        <w:gridCol w:w="3058"/>
        <w:gridCol w:w="3048"/>
        <w:gridCol w:w="3101"/>
      </w:tblGrid>
      <w:tr>
        <w:trPr>
          <w:trHeight w:val="5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4" w:lineRule="exact"/>
              <w:ind w:left="0" w:right="0" w:firstLine="0"/>
            </w:pPr>
            <w:r>
              <w:rPr>
                <w:rStyle w:val="CharStyle16"/>
              </w:rPr>
              <w:t>Cena za hodinu podnájmu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Počet 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9" w:lineRule="exact"/>
              <w:ind w:left="20" w:right="0" w:firstLine="0"/>
            </w:pPr>
            <w:r>
              <w:rPr>
                <w:rStyle w:val="CharStyle16"/>
              </w:rPr>
              <w:t>Celkem za celou dobu užívání Kč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Velká tělocvična 300,-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6"/>
              </w:rPr>
              <w:t>198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20" w:right="0" w:firstLine="0"/>
            </w:pPr>
            <w:r>
              <w:rPr>
                <w:rStyle w:val="CharStyle16"/>
              </w:rPr>
              <w:t>59.400,-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0" w:right="0" w:firstLine="0"/>
            </w:pPr>
            <w:r>
              <w:rPr>
                <w:rStyle w:val="CharStyle17"/>
              </w:rPr>
              <w:t xml:space="preserve">Cena </w:t>
            </w:r>
            <w:r>
              <w:rPr>
                <w:rStyle w:val="CharStyle16"/>
              </w:rPr>
              <w:t xml:space="preserve">s </w:t>
            </w:r>
            <w:r>
              <w:rPr>
                <w:rStyle w:val="CharStyle17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206" w:h="1190" w:wrap="none" w:vAnchor="page" w:hAnchor="page" w:x="1148" w:y="550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9"/>
              <w:framePr w:w="9206" w:h="1190" w:wrap="none" w:vAnchor="page" w:hAnchor="page" w:x="1148" w:y="550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6" w:lineRule="exact"/>
              <w:ind w:left="20" w:right="0" w:firstLine="0"/>
            </w:pPr>
            <w:r>
              <w:rPr>
                <w:rStyle w:val="CharStyle17"/>
              </w:rPr>
              <w:t>59.400,-</w:t>
            </w:r>
          </w:p>
        </w:tc>
      </w:tr>
    </w:tbl>
    <w:p>
      <w:pPr>
        <w:pStyle w:val="Style9"/>
        <w:numPr>
          <w:ilvl w:val="0"/>
          <w:numId w:val="3"/>
        </w:numPr>
        <w:framePr w:w="9989" w:h="605" w:hRule="exact" w:wrap="none" w:vAnchor="page" w:hAnchor="page" w:x="1028" w:y="6881"/>
        <w:tabs>
          <w:tab w:leader="none" w:pos="5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 w:hanging="1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Sjednanou platbu podnájmu, </w:t>
      </w:r>
      <w:r>
        <w:rPr>
          <w:rStyle w:val="CharStyle15"/>
        </w:rPr>
        <w:t xml:space="preserve">částku Kč 59.400- 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(slovy: Padesátdevěttisícčtyřista Korun českých) uhradí podnájemce převodem na základě vystavené faktury na účet podnajímatele</w:t>
      </w:r>
    </w:p>
    <w:p>
      <w:pPr>
        <w:pStyle w:val="Style18"/>
        <w:framePr w:w="9989" w:h="595" w:hRule="exact" w:wrap="none" w:vAnchor="page" w:hAnchor="page" w:x="1028" w:y="8253"/>
        <w:tabs>
          <w:tab w:leader="none" w:pos="25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5851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září - prosinec</w:t>
        <w:tab/>
        <w:t>do 25.11. 2019</w:t>
      </w:r>
    </w:p>
    <w:p>
      <w:pPr>
        <w:pStyle w:val="Style18"/>
        <w:framePr w:w="9989" w:h="595" w:hRule="exact" w:wrap="none" w:vAnchor="page" w:hAnchor="page" w:x="1028" w:y="8253"/>
        <w:tabs>
          <w:tab w:leader="none" w:pos="258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320" w:right="5851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leden - červen</w:t>
        <w:tab/>
        <w:t>do 15. 5. 2019</w:t>
      </w:r>
    </w:p>
    <w:p>
      <w:pPr>
        <w:pStyle w:val="Style18"/>
        <w:framePr w:w="1186" w:h="600" w:hRule="exact" w:wrap="none" w:vAnchor="page" w:hAnchor="page" w:x="6217" w:y="825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28.800,- Kč 30.600,- Kč</w:t>
      </w:r>
    </w:p>
    <w:p>
      <w:pPr>
        <w:pStyle w:val="Style9"/>
        <w:numPr>
          <w:ilvl w:val="0"/>
          <w:numId w:val="3"/>
        </w:numPr>
        <w:framePr w:w="9989" w:h="1416" w:hRule="exact" w:wrap="none" w:vAnchor="page" w:hAnchor="page" w:x="1028" w:y="10211"/>
        <w:tabs>
          <w:tab w:leader="none" w:pos="522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320" w:right="660" w:hanging="1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 je oprávněn požadovat po podnájemci smluvní pokutu za každý započatý den prodlení s platbou úhrady za podnájem po sjednaném termínu splatnosti ve výši 1 % (jedno procento) z uvedených částek a podnájemce je povinen na výzvu podnajímatele tuto smluvní pokutu uhradit. Zaplacením smluvní pokuty není dotčeno právo podnajímatele na úhradu případné škody vzniklé pozdní platbou úhrady za podnájem.</w:t>
      </w:r>
    </w:p>
    <w:p>
      <w:pPr>
        <w:pStyle w:val="Style9"/>
        <w:framePr w:w="9989" w:h="3357" w:hRule="exact" w:wrap="none" w:vAnchor="page" w:hAnchor="page" w:x="1028" w:y="12219"/>
        <w:widowControl w:val="0"/>
        <w:keepNext w:val="0"/>
        <w:keepLines w:val="0"/>
        <w:shd w:val="clear" w:color="auto" w:fill="auto"/>
        <w:bidi w:val="0"/>
        <w:jc w:val="left"/>
        <w:spacing w:before="0" w:after="274" w:line="266" w:lineRule="exact"/>
        <w:ind w:left="442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</w:t>
      </w:r>
    </w:p>
    <w:p>
      <w:pPr>
        <w:pStyle w:val="Style9"/>
        <w:numPr>
          <w:ilvl w:val="0"/>
          <w:numId w:val="5"/>
        </w:numPr>
        <w:framePr w:w="9989" w:h="3357" w:hRule="exact" w:wrap="none" w:vAnchor="page" w:hAnchor="page" w:x="1028" w:y="12219"/>
        <w:tabs>
          <w:tab w:leader="none" w:pos="51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20" w:right="0" w:hanging="1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je oprávněn v podnajatých prostorách provozovat činnost způsobem</w:t>
      </w:r>
    </w:p>
    <w:p>
      <w:pPr>
        <w:pStyle w:val="Style9"/>
        <w:framePr w:w="9989" w:h="3357" w:hRule="exact" w:wrap="none" w:vAnchor="page" w:hAnchor="page" w:x="1028" w:y="12219"/>
        <w:widowControl w:val="0"/>
        <w:keepNext w:val="0"/>
        <w:keepLines w:val="0"/>
        <w:shd w:val="clear" w:color="auto" w:fill="auto"/>
        <w:bidi w:val="0"/>
        <w:jc w:val="left"/>
        <w:spacing w:before="0" w:after="276"/>
        <w:ind w:left="660" w:right="6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stanoveným ve smlouvě a v souladu se školním řádem a s dalšími vnitřními předpisy školy.</w:t>
      </w:r>
    </w:p>
    <w:p>
      <w:pPr>
        <w:pStyle w:val="Style9"/>
        <w:numPr>
          <w:ilvl w:val="0"/>
          <w:numId w:val="5"/>
        </w:numPr>
        <w:framePr w:w="9989" w:h="3357" w:hRule="exact" w:wrap="none" w:vAnchor="page" w:hAnchor="page" w:x="1028" w:y="12219"/>
        <w:tabs>
          <w:tab w:leader="none" w:pos="5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320" w:right="0" w:hanging="1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se zavazuje, že v podnajatých prostorách nebude plýtvat energií, bude šetřit</w:t>
      </w:r>
    </w:p>
    <w:p>
      <w:pPr>
        <w:pStyle w:val="Style9"/>
        <w:framePr w:w="9989" w:h="3357" w:hRule="exact" w:wrap="none" w:vAnchor="page" w:hAnchor="page" w:x="1028" w:y="12219"/>
        <w:widowControl w:val="0"/>
        <w:keepNext w:val="0"/>
        <w:keepLines w:val="0"/>
        <w:shd w:val="clear" w:color="auto" w:fill="auto"/>
        <w:bidi w:val="0"/>
        <w:jc w:val="left"/>
        <w:spacing w:before="0" w:after="290" w:line="278" w:lineRule="exact"/>
        <w:ind w:left="660" w:right="66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vybavení školy a v provozních otázkách se bude řídit pokyny odpovědného pracovníka školy (podnajímatele).</w:t>
      </w:r>
    </w:p>
    <w:p>
      <w:pPr>
        <w:pStyle w:val="Style9"/>
        <w:numPr>
          <w:ilvl w:val="0"/>
          <w:numId w:val="5"/>
        </w:numPr>
        <w:framePr w:w="9989" w:h="3357" w:hRule="exact" w:wrap="none" w:vAnchor="page" w:hAnchor="page" w:x="1028" w:y="12219"/>
        <w:tabs>
          <w:tab w:leader="none" w:pos="52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320" w:right="0" w:hanging="18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odpovídá za škody způsobené v důsledku užívání podnajatých prostor, a to jak</w:t>
      </w:r>
    </w:p>
    <w:p>
      <w:pPr>
        <w:pStyle w:val="Style9"/>
        <w:framePr w:w="9989" w:h="3357" w:hRule="exact" w:wrap="none" w:vAnchor="page" w:hAnchor="page" w:x="1028" w:y="12219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6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samotným podnájemcem, tak i osobami, kterým umožní do podnajatých prostor vstup.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79.55pt;margin-top:624.9pt;width:168.5pt;height:0;z-index:-251658240;mso-position-horizontal-relative:page;mso-position-vertical-relative:page">
            <v:stroke weight="1.45pt" endcap="round" dashstyle="1 1"/>
          </v:shape>
        </w:pict>
      </w:r>
      <w:r>
        <w:pict>
          <v:shape o:spt="32" o:oned="1" path="m,l21600,21600e" style="position:absolute;margin-left:346.2pt;margin-top:625.4pt;width:184.8pt;height:0;z-index:-251658240;mso-position-horizontal-relative:page;mso-position-vertical-relative:page">
            <v:stroke weight="1.45pt" endcap="round" dashstyle="1 1"/>
          </v:shape>
        </w:pict>
      </w:r>
    </w:p>
    <w:p>
      <w:pPr>
        <w:pStyle w:val="Style20"/>
        <w:framePr w:wrap="none" w:vAnchor="page" w:hAnchor="page" w:x="1237" w:y="137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40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</w:t>
      </w:r>
      <w:bookmarkEnd w:id="3"/>
    </w:p>
    <w:p>
      <w:pPr>
        <w:pStyle w:val="Style9"/>
        <w:numPr>
          <w:ilvl w:val="0"/>
          <w:numId w:val="7"/>
        </w:numPr>
        <w:framePr w:w="9989" w:h="2541" w:hRule="exact" w:wrap="none" w:vAnchor="page" w:hAnchor="page" w:x="1237" w:y="2010"/>
        <w:tabs>
          <w:tab w:leader="none" w:pos="541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Právní vztahy z této podnájemní smlouvy vyplývající se řídí zákonem č. 89/2012 Sb.,</w:t>
      </w:r>
    </w:p>
    <w:p>
      <w:pPr>
        <w:pStyle w:val="Style9"/>
        <w:framePr w:w="9989" w:h="2541" w:hRule="exact" w:wrap="none" w:vAnchor="page" w:hAnchor="page" w:x="1237" w:y="2010"/>
        <w:widowControl w:val="0"/>
        <w:keepNext w:val="0"/>
        <w:keepLines w:val="0"/>
        <w:shd w:val="clear" w:color="auto" w:fill="auto"/>
        <w:bidi w:val="0"/>
        <w:jc w:val="left"/>
        <w:spacing w:before="0" w:after="294" w:line="266" w:lineRule="exact"/>
        <w:ind w:left="6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občanský zákoník, ve znění pozdějších předpisů.</w:t>
      </w:r>
    </w:p>
    <w:p>
      <w:pPr>
        <w:pStyle w:val="Style9"/>
        <w:numPr>
          <w:ilvl w:val="0"/>
          <w:numId w:val="7"/>
        </w:numPr>
        <w:framePr w:w="9989" w:h="2541" w:hRule="exact" w:wrap="none" w:vAnchor="page" w:hAnchor="page" w:x="1237" w:y="2010"/>
        <w:tabs>
          <w:tab w:leader="none" w:pos="54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Platnosti tato smlouva nabývá dnem podpisu oběma smluvními stranami.</w:t>
      </w:r>
    </w:p>
    <w:p>
      <w:pPr>
        <w:pStyle w:val="Style9"/>
        <w:framePr w:w="9989" w:h="2541" w:hRule="exact" w:wrap="none" w:vAnchor="page" w:hAnchor="page" w:x="1237" w:y="2010"/>
        <w:widowControl w:val="0"/>
        <w:keepNext w:val="0"/>
        <w:keepLines w:val="0"/>
        <w:shd w:val="clear" w:color="auto" w:fill="auto"/>
        <w:bidi w:val="0"/>
        <w:jc w:val="left"/>
        <w:spacing w:before="0" w:after="306"/>
        <w:ind w:left="6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Změny smlouvy mohou být učiněny pouze formou písemných dodatků podepsaných oběma smluvními stranami.</w:t>
      </w:r>
    </w:p>
    <w:p>
      <w:pPr>
        <w:pStyle w:val="Style9"/>
        <w:numPr>
          <w:ilvl w:val="0"/>
          <w:numId w:val="7"/>
        </w:numPr>
        <w:framePr w:w="9989" w:h="2541" w:hRule="exact" w:wrap="none" w:vAnchor="page" w:hAnchor="page" w:x="1237" w:y="2010"/>
        <w:tabs>
          <w:tab w:leader="none" w:pos="541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16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vyhotovena ve třech originálech, z nichž podnajímatel obdrží dva a</w:t>
      </w:r>
    </w:p>
    <w:p>
      <w:pPr>
        <w:pStyle w:val="Style9"/>
        <w:framePr w:w="9989" w:h="2541" w:hRule="exact" w:wrap="none" w:vAnchor="page" w:hAnchor="page" w:x="1237" w:y="2010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6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 emce j eden.</w:t>
      </w:r>
    </w:p>
    <w:p>
      <w:pPr>
        <w:pStyle w:val="Style20"/>
        <w:framePr w:w="9989" w:h="1484" w:hRule="exact" w:wrap="none" w:vAnchor="page" w:hAnchor="page" w:x="1237" w:y="5045"/>
        <w:widowControl w:val="0"/>
        <w:keepNext w:val="0"/>
        <w:keepLines w:val="0"/>
        <w:shd w:val="clear" w:color="auto" w:fill="auto"/>
        <w:bidi w:val="0"/>
        <w:jc w:val="left"/>
        <w:spacing w:before="0" w:after="358"/>
        <w:ind w:left="4400" w:right="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ČI. VII</w:t>
      </w:r>
      <w:bookmarkEnd w:id="4"/>
    </w:p>
    <w:p>
      <w:pPr>
        <w:pStyle w:val="Style9"/>
        <w:framePr w:w="9989" w:h="1484" w:hRule="exact" w:wrap="none" w:vAnchor="page" w:hAnchor="page" w:x="1237" w:y="5045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60" w:right="5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 bere na vědomí, že podnajímatel je povinen na dotaz třetí osoby poskytnout infonnace podle ustanovení zák. č. 106/1999 Sb., o svobodném přístupu k informacím, ve znění pozdějších předpisů.</w:t>
      </w:r>
    </w:p>
    <w:p>
      <w:pPr>
        <w:pStyle w:val="Style9"/>
        <w:framePr w:w="9989" w:h="2237" w:hRule="exact" w:wrap="none" w:vAnchor="page" w:hAnchor="page" w:x="1237" w:y="7029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160" w:right="58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berou na vědomí, že tato smlouva podléhá povinnosti jejího uveřejnění prostřednictvím registru smluv v souladu se zákonem č. 340/ 2015 Sb., zákon o registru smluv (vyjimky z povinnosti uveřejnění jsou uvedeny v ustanovení §zákona o registru smluv). Smluvní strany dále berou na vědomí, že od 1. 7. 2017 tato smlouva (dodatek smlouvy) nabývá účinnosti nejdříve dnem jejího uveřejnění v registru mluv. S účinností od 1. 7. 2017 dále platí, že nebude-li smlouva uveřejněna ani do tří měsíců od jejího uzavření, bude od počátku zrušena. Podnajímatel zašle tuto smlouvu správci registru smluv k uveřejnění bez zbytečného odkladu, nejpozději však do 30 dnů od jejího uzavření.</w:t>
      </w:r>
    </w:p>
    <w:p>
      <w:pPr>
        <w:pStyle w:val="Style9"/>
        <w:framePr w:wrap="none" w:vAnchor="page" w:hAnchor="page" w:x="1487" w:y="10122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1. 10. 2019</w:t>
      </w:r>
    </w:p>
    <w:p>
      <w:pPr>
        <w:pStyle w:val="Style9"/>
        <w:framePr w:wrap="none" w:vAnchor="page" w:hAnchor="page" w:x="6383" w:y="10131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Praze dne: 1. 10. 2019</w:t>
      </w:r>
    </w:p>
    <w:p>
      <w:pPr>
        <w:pStyle w:val="Style9"/>
        <w:framePr w:wrap="none" w:vAnchor="page" w:hAnchor="page" w:x="1357" w:y="12747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24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Podnajímatel</w:t>
      </w:r>
    </w:p>
    <w:p>
      <w:pPr>
        <w:pStyle w:val="Style9"/>
        <w:framePr w:wrap="none" w:vAnchor="page" w:hAnchor="page" w:x="6916" w:y="12695"/>
        <w:widowControl w:val="0"/>
        <w:keepNext w:val="0"/>
        <w:keepLines w:val="0"/>
        <w:shd w:val="clear" w:color="auto" w:fill="auto"/>
        <w:bidi w:val="0"/>
        <w:jc w:val="left"/>
        <w:spacing w:before="0" w:after="0" w:line="266" w:lineRule="exact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Podnájemce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sectPr>
      <w:footnotePr>
        <w:pos w:val="pageBottom"/>
        <w:numFmt w:val="decimal"/>
        <w:numRestart w:val="continuous"/>
      </w:footnotePr>
      <w:pgSz w:w="11904" w:h="16834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|1_"/>
    <w:basedOn w:val="DefaultParagraphFont"/>
    <w:link w:val="Style2"/>
    <w:rPr>
      <w:b/>
      <w:bCs/>
      <w:i w:val="0"/>
      <w:iCs w:val="0"/>
      <w:u w:val="none"/>
      <w:strike w:val="0"/>
      <w:smallCaps w:val="0"/>
      <w:sz w:val="40"/>
      <w:szCs w:val="40"/>
    </w:rPr>
  </w:style>
  <w:style w:type="character" w:customStyle="1" w:styleId="CharStyle5">
    <w:name w:val="Heading #2|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7">
    <w:name w:val="Body text|3_"/>
    <w:basedOn w:val="DefaultParagraphFont"/>
    <w:link w:val="Style6"/>
    <w:rPr>
      <w:b/>
      <w:bCs/>
      <w:i w:val="0"/>
      <w:iCs w:val="0"/>
      <w:u w:val="none"/>
      <w:strike w:val="0"/>
      <w:smallCaps w:val="0"/>
    </w:rPr>
  </w:style>
  <w:style w:type="character" w:customStyle="1" w:styleId="CharStyle8">
    <w:name w:val="Body text|3 + Not Bold"/>
    <w:basedOn w:val="CharStyle7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0">
    <w:name w:val="Body text|2_"/>
    <w:basedOn w:val="DefaultParagraphFont"/>
    <w:link w:val="Style9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12">
    <w:name w:val="Body text|4_"/>
    <w:basedOn w:val="DefaultParagraphFont"/>
    <w:link w:val="Style11"/>
    <w:rPr>
      <w:b/>
      <w:bCs/>
      <w:i w:val="0"/>
      <w:iCs w:val="0"/>
      <w:u w:val="none"/>
      <w:strike w:val="0"/>
      <w:smallCaps w:val="0"/>
      <w:sz w:val="20"/>
      <w:szCs w:val="20"/>
      <w:spacing w:val="50"/>
    </w:rPr>
  </w:style>
  <w:style w:type="character" w:customStyle="1" w:styleId="CharStyle14">
    <w:name w:val="Body text|5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5"/>
      <w:szCs w:val="15"/>
      <w:spacing w:val="10"/>
    </w:rPr>
  </w:style>
  <w:style w:type="character" w:customStyle="1" w:styleId="CharStyle15">
    <w:name w:val="Body text|2 + Bold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Body text|2"/>
    <w:basedOn w:val="CharStyle10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7">
    <w:name w:val="Body text|2 + Bold"/>
    <w:basedOn w:val="CharStyle10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Body text|6_"/>
    <w:basedOn w:val="DefaultParagraphFont"/>
    <w:link w:val="Style18"/>
    <w:rPr>
      <w:b/>
      <w:bCs/>
      <w:i w:val="0"/>
      <w:iCs w:val="0"/>
      <w:u w:val="none"/>
      <w:strike w:val="0"/>
      <w:smallCaps w:val="0"/>
    </w:rPr>
  </w:style>
  <w:style w:type="character" w:customStyle="1" w:styleId="CharStyle21">
    <w:name w:val="Heading #3|1_"/>
    <w:basedOn w:val="DefaultParagraphFont"/>
    <w:link w:val="Style20"/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">
    <w:name w:val="Heading #1|1"/>
    <w:basedOn w:val="Normal"/>
    <w:link w:val="CharStyle3"/>
    <w:pPr>
      <w:widowControl w:val="0"/>
      <w:shd w:val="clear" w:color="auto" w:fill="FFFFFF"/>
      <w:jc w:val="center"/>
      <w:outlineLvl w:val="0"/>
      <w:spacing w:line="442" w:lineRule="exact"/>
    </w:pPr>
    <w:rPr>
      <w:b/>
      <w:bCs/>
      <w:i w:val="0"/>
      <w:iCs w:val="0"/>
      <w:u w:val="none"/>
      <w:strike w:val="0"/>
      <w:smallCaps w:val="0"/>
      <w:sz w:val="40"/>
      <w:szCs w:val="40"/>
    </w:rPr>
  </w:style>
  <w:style w:type="paragraph" w:customStyle="1" w:styleId="Style4">
    <w:name w:val="Heading #2|1"/>
    <w:basedOn w:val="Normal"/>
    <w:link w:val="CharStyle5"/>
    <w:pPr>
      <w:widowControl w:val="0"/>
      <w:shd w:val="clear" w:color="auto" w:fill="FFFFFF"/>
      <w:jc w:val="center"/>
      <w:outlineLvl w:val="1"/>
      <w:spacing w:line="31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</w:rPr>
  </w:style>
  <w:style w:type="paragraph" w:customStyle="1" w:styleId="Style6">
    <w:name w:val="Body text|3"/>
    <w:basedOn w:val="Normal"/>
    <w:link w:val="CharStyle7"/>
    <w:pPr>
      <w:widowControl w:val="0"/>
      <w:shd w:val="clear" w:color="auto" w:fill="FFFFFF"/>
      <w:spacing w:before="260" w:line="274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9">
    <w:name w:val="Body text|2"/>
    <w:basedOn w:val="Normal"/>
    <w:link w:val="CharStyle10"/>
    <w:pPr>
      <w:widowControl w:val="0"/>
      <w:shd w:val="clear" w:color="auto" w:fill="FFFFFF"/>
      <w:jc w:val="both"/>
      <w:spacing w:line="274" w:lineRule="exact"/>
      <w:ind w:hanging="52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11">
    <w:name w:val="Body text|4"/>
    <w:basedOn w:val="Normal"/>
    <w:link w:val="CharStyle12"/>
    <w:pPr>
      <w:widowControl w:val="0"/>
      <w:shd w:val="clear" w:color="auto" w:fill="FFFFFF"/>
      <w:jc w:val="center"/>
      <w:spacing w:before="440" w:line="222" w:lineRule="exact"/>
    </w:pPr>
    <w:rPr>
      <w:b/>
      <w:bCs/>
      <w:i w:val="0"/>
      <w:iCs w:val="0"/>
      <w:u w:val="none"/>
      <w:strike w:val="0"/>
      <w:smallCaps w:val="0"/>
      <w:sz w:val="20"/>
      <w:szCs w:val="20"/>
      <w:spacing w:val="50"/>
    </w:rPr>
  </w:style>
  <w:style w:type="paragraph" w:customStyle="1" w:styleId="Style13">
    <w:name w:val="Body text|5"/>
    <w:basedOn w:val="Normal"/>
    <w:link w:val="CharStyle14"/>
    <w:pPr>
      <w:widowControl w:val="0"/>
      <w:shd w:val="clear" w:color="auto" w:fill="FFFFFF"/>
      <w:spacing w:before="260" w:line="274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spacing w:val="10"/>
    </w:rPr>
  </w:style>
  <w:style w:type="paragraph" w:customStyle="1" w:styleId="Style18">
    <w:name w:val="Body text|6"/>
    <w:basedOn w:val="Normal"/>
    <w:link w:val="CharStyle19"/>
    <w:pPr>
      <w:widowControl w:val="0"/>
      <w:shd w:val="clear" w:color="auto" w:fill="FFFFFF"/>
      <w:jc w:val="both"/>
      <w:spacing w:before="820" w:line="269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20">
    <w:name w:val="Heading #3|1"/>
    <w:basedOn w:val="Normal"/>
    <w:link w:val="CharStyle21"/>
    <w:pPr>
      <w:widowControl w:val="0"/>
      <w:shd w:val="clear" w:color="auto" w:fill="FFFFFF"/>
      <w:outlineLvl w:val="2"/>
      <w:spacing w:after="360" w:line="266" w:lineRule="exact"/>
    </w:pPr>
    <w:rPr>
      <w:b w:val="0"/>
      <w:bCs w:val="0"/>
      <w:i w:val="0"/>
      <w:iCs w:val="0"/>
      <w:u w:val="none"/>
      <w:strike w:val="0"/>
      <w:smallCaps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