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B47E2F" w:rsidRDefault="007A4A63" w:rsidP="00077613">
      <w:pPr>
        <w:spacing w:after="60" w:line="240" w:lineRule="auto"/>
        <w:ind w:left="425" w:hanging="425"/>
        <w:jc w:val="center"/>
        <w:rPr>
          <w:rFonts w:cs="Times New Roman"/>
          <w:b/>
          <w:sz w:val="32"/>
          <w:szCs w:val="32"/>
        </w:rPr>
      </w:pPr>
      <w:r w:rsidRPr="00B47E2F">
        <w:rPr>
          <w:rFonts w:cs="Times New Roman"/>
          <w:b/>
          <w:sz w:val="32"/>
          <w:szCs w:val="32"/>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r w:rsidR="00FE7528">
        <w:rPr>
          <w:rFonts w:eastAsia="Times New Roman" w:cs="Times New Roman"/>
          <w:i/>
          <w:lang w:eastAsia="cs-CZ"/>
        </w:rPr>
        <w:t>Mgr. Lucie Štěpánková</w:t>
      </w:r>
      <w:r w:rsidRPr="00B47E2F">
        <w:rPr>
          <w:rFonts w:eastAsia="Times New Roman" w:cs="Times New Roman"/>
          <w:lang w:eastAsia="cs-CZ"/>
        </w:rPr>
        <w:t>,</w:t>
      </w:r>
      <w:r w:rsidR="00FE7528">
        <w:rPr>
          <w:rFonts w:eastAsia="Times New Roman" w:cs="Times New Roman"/>
          <w:lang w:eastAsia="cs-CZ"/>
        </w:rPr>
        <w:t xml:space="preserve"> MBA</w:t>
      </w:r>
      <w:r w:rsidRPr="00B47E2F">
        <w:rPr>
          <w:rFonts w:eastAsia="Times New Roman" w:cs="Times New Roman"/>
          <w:lang w:eastAsia="cs-CZ"/>
        </w:rPr>
        <w:t xml:space="preserve"> člen</w:t>
      </w:r>
      <w:r w:rsidR="00FE7528">
        <w:rPr>
          <w:rFonts w:eastAsia="Times New Roman" w:cs="Times New Roman"/>
          <w:lang w:eastAsia="cs-CZ"/>
        </w:rPr>
        <w:t>ka</w:t>
      </w:r>
      <w:r w:rsidRPr="00B47E2F">
        <w:rPr>
          <w:rFonts w:eastAsia="Times New Roman" w:cs="Times New Roman"/>
          <w:lang w:eastAsia="cs-CZ"/>
        </w:rPr>
        <w:t xml:space="preserve"> představenstva</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Ing. Věra Prousková,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223874" w:rsidRPr="002F6FE6" w:rsidRDefault="00223874" w:rsidP="00223874">
      <w:pPr>
        <w:widowControl w:val="0"/>
        <w:spacing w:after="0" w:line="240" w:lineRule="auto"/>
        <w:rPr>
          <w:rFonts w:eastAsia="Times New Roman" w:cs="Times New Roman"/>
          <w:b/>
          <w:noProof/>
          <w:lang w:eastAsia="cs-CZ"/>
        </w:rPr>
      </w:pPr>
      <w:r w:rsidRPr="002F6FE6">
        <w:rPr>
          <w:rFonts w:eastAsia="Times New Roman" w:cs="Times New Roman"/>
          <w:b/>
          <w:noProof/>
          <w:lang w:eastAsia="cs-CZ"/>
        </w:rPr>
        <w:t>CSL Behring s.r.o.</w:t>
      </w:r>
    </w:p>
    <w:p w:rsidR="00223874" w:rsidRPr="002F6FE6" w:rsidRDefault="00223874" w:rsidP="00223874">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 xml:space="preserve">Sídlo: </w:t>
      </w:r>
      <w:r w:rsidRPr="002F6FE6">
        <w:t>Vyskočilova 1461/2a, 140 00 Praha 4</w:t>
      </w:r>
    </w:p>
    <w:p w:rsidR="00223874" w:rsidRPr="002F6FE6" w:rsidRDefault="00223874" w:rsidP="00223874">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IČ:</w:t>
      </w:r>
      <w:r w:rsidRPr="002F6FE6">
        <w:t xml:space="preserve"> 241 39 769</w:t>
      </w:r>
      <w:r w:rsidRPr="002F6FE6">
        <w:rPr>
          <w:rFonts w:eastAsia="Times New Roman" w:cs="Times New Roman"/>
          <w:bCs/>
          <w:noProof/>
          <w:lang w:eastAsia="cs-CZ"/>
        </w:rPr>
        <w:t>, DIČ: CZ</w:t>
      </w:r>
      <w:r w:rsidRPr="002F6FE6">
        <w:t>241 39 769</w:t>
      </w:r>
    </w:p>
    <w:p w:rsidR="00223874" w:rsidRPr="002F6FE6" w:rsidRDefault="00223874" w:rsidP="00223874">
      <w:pPr>
        <w:widowControl w:val="0"/>
        <w:spacing w:after="0" w:line="240" w:lineRule="auto"/>
        <w:rPr>
          <w:rFonts w:eastAsia="Times New Roman" w:cs="Times New Roman"/>
          <w:bCs/>
          <w:noProof/>
          <w:lang w:eastAsia="cs-CZ"/>
        </w:rPr>
      </w:pPr>
      <w:r w:rsidRPr="002F6FE6">
        <w:t>zapsána</w:t>
      </w:r>
      <w:r>
        <w:t xml:space="preserve"> v obchodním rejstříku </w:t>
      </w:r>
      <w:r w:rsidRPr="002F6FE6">
        <w:t xml:space="preserve">Městským soudem, soudem v Praze, oddíl pod </w:t>
      </w:r>
      <w:proofErr w:type="spellStart"/>
      <w:r w:rsidRPr="002F6FE6">
        <w:t>sp</w:t>
      </w:r>
      <w:proofErr w:type="spellEnd"/>
      <w:r w:rsidRPr="002F6FE6">
        <w:t>. Zn. C 182261</w:t>
      </w:r>
    </w:p>
    <w:p w:rsidR="00223874" w:rsidRPr="002F6FE6" w:rsidRDefault="00223874" w:rsidP="00223874">
      <w:pPr>
        <w:widowControl w:val="0"/>
        <w:spacing w:after="0" w:line="240" w:lineRule="auto"/>
        <w:rPr>
          <w:rFonts w:eastAsia="Times New Roman" w:cs="Times New Roman"/>
          <w:noProof/>
          <w:lang w:eastAsia="cs-CZ"/>
        </w:rPr>
      </w:pPr>
      <w:r w:rsidRPr="002F6FE6">
        <w:rPr>
          <w:rFonts w:eastAsia="Times New Roman" w:cs="Times New Roman"/>
          <w:bCs/>
          <w:noProof/>
          <w:lang w:eastAsia="cs-CZ"/>
        </w:rPr>
        <w:t>zastoupení:</w:t>
      </w:r>
      <w:r w:rsidRPr="002F6FE6">
        <w:t xml:space="preserve"> Mgr. Ondřejem Halaszem</w:t>
      </w:r>
    </w:p>
    <w:p w:rsidR="00223874" w:rsidRPr="002F6FE6" w:rsidRDefault="00223874" w:rsidP="00223874">
      <w:pPr>
        <w:widowControl w:val="0"/>
        <w:spacing w:after="0" w:line="240" w:lineRule="auto"/>
        <w:rPr>
          <w:rFonts w:eastAsia="Times New Roman" w:cs="Times New Roman"/>
          <w:noProof/>
          <w:lang w:eastAsia="cs-CZ"/>
        </w:rPr>
      </w:pPr>
      <w:r w:rsidRPr="002F6FE6">
        <w:rPr>
          <w:rFonts w:eastAsia="Times New Roman" w:cs="Times New Roman"/>
          <w:noProof/>
          <w:lang w:eastAsia="cs-CZ"/>
        </w:rPr>
        <w:t>číslo účtu:</w:t>
      </w:r>
      <w:r w:rsidR="00FE7528">
        <w:rPr>
          <w:color w:val="000000"/>
        </w:rPr>
        <w:t xml:space="preserve"> </w:t>
      </w:r>
      <w:proofErr w:type="spellStart"/>
      <w:r w:rsidR="00FE7528">
        <w:rPr>
          <w:color w:val="000000"/>
        </w:rPr>
        <w:t>xxxxxxxxxxxxxxxxxxxxxxxxxxxx</w:t>
      </w:r>
      <w:proofErr w:type="spellEnd"/>
    </w:p>
    <w:p w:rsidR="00223874" w:rsidRPr="002F6FE6" w:rsidRDefault="00FE7528" w:rsidP="00223874">
      <w:pPr>
        <w:widowControl w:val="0"/>
        <w:spacing w:after="0" w:line="240" w:lineRule="auto"/>
        <w:rPr>
          <w:rFonts w:eastAsia="Times New Roman" w:cs="Times New Roman"/>
          <w:noProof/>
          <w:lang w:eastAsia="cs-CZ"/>
        </w:rPr>
      </w:pPr>
      <w:r>
        <w:rPr>
          <w:rFonts w:eastAsia="Times New Roman" w:cs="Times New Roman"/>
          <w:noProof/>
          <w:lang w:eastAsia="cs-CZ"/>
        </w:rPr>
        <w:t>kontaktní osoby: xxxxxxxxxxxxxxxxxxxxxxxxxxxxxxx</w:t>
      </w:r>
    </w:p>
    <w:p w:rsidR="00223874" w:rsidRPr="002F6FE6" w:rsidRDefault="00223874" w:rsidP="00223874">
      <w:pPr>
        <w:widowControl w:val="0"/>
        <w:spacing w:after="0" w:line="240" w:lineRule="auto"/>
        <w:rPr>
          <w:rFonts w:eastAsia="Times New Roman" w:cs="Times New Roman"/>
          <w:noProof/>
          <w:lang w:eastAsia="cs-CZ"/>
        </w:rPr>
      </w:pPr>
      <w:r w:rsidRPr="002F6FE6">
        <w:rPr>
          <w:rFonts w:eastAsia="Times New Roman" w:cs="Times New Roman"/>
          <w:noProof/>
          <w:lang w:eastAsia="cs-CZ"/>
        </w:rPr>
        <w:t>telefon, fax, e-</w:t>
      </w:r>
      <w:r w:rsidR="00FE7528">
        <w:rPr>
          <w:rFonts w:eastAsia="Times New Roman" w:cs="Times New Roman"/>
          <w:noProof/>
          <w:lang w:eastAsia="cs-CZ"/>
        </w:rPr>
        <w:t>mail: xxxxxxxxxxxxxxxxxxxxxxxxxx</w:t>
      </w:r>
    </w:p>
    <w:p w:rsidR="00223874" w:rsidRPr="008A67EF" w:rsidRDefault="00223874" w:rsidP="00223874">
      <w:pPr>
        <w:widowControl w:val="0"/>
        <w:spacing w:after="0" w:line="240" w:lineRule="auto"/>
        <w:rPr>
          <w:rFonts w:eastAsia="Times New Roman" w:cs="Times New Roman"/>
          <w:noProof/>
          <w:lang w:eastAsia="cs-CZ"/>
        </w:rPr>
      </w:pPr>
      <w:r w:rsidRPr="002F6FE6">
        <w:rPr>
          <w:rFonts w:eastAsia="Times New Roman" w:cs="Times New Roman"/>
          <w:noProof/>
          <w:lang w:eastAsia="cs-CZ"/>
        </w:rPr>
        <w:t>(dále jen „Prodávající“) na straně druhé</w:t>
      </w:r>
    </w:p>
    <w:p w:rsidR="00BE278C" w:rsidRPr="00B47E2F" w:rsidRDefault="00BE278C" w:rsidP="00D520C2">
      <w:pPr>
        <w:widowControl w:val="0"/>
        <w:spacing w:after="0" w:line="240" w:lineRule="auto"/>
        <w:rPr>
          <w:rFonts w:eastAsia="Times New Roman" w:cs="Times New Roman"/>
          <w:noProof/>
          <w:lang w:eastAsia="cs-CZ"/>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D520C2">
      <w:pPr>
        <w:pStyle w:val="Odstavecseseznamem"/>
        <w:numPr>
          <w:ilvl w:val="0"/>
          <w:numId w:val="26"/>
        </w:numPr>
        <w:spacing w:after="12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Pr="00B47E2F" w:rsidRDefault="0039557F" w:rsidP="00D520C2">
      <w:pPr>
        <w:pStyle w:val="Odstavecseseznamem"/>
        <w:numPr>
          <w:ilvl w:val="0"/>
          <w:numId w:val="26"/>
        </w:numPr>
        <w:spacing w:after="12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7A4A63" w:rsidRPr="00B47E2F">
        <w:rPr>
          <w:rFonts w:eastAsia="Calibri" w:cs="Times New Roman"/>
        </w:rPr>
        <w:t>25</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7A4A63" w:rsidRPr="00B47E2F">
        <w:rPr>
          <w:rFonts w:eastAsia="Calibri" w:cs="Times New Roman"/>
          <w:bCs/>
          <w:iCs/>
        </w:rPr>
        <w:t>Albumin</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223874" w:rsidRPr="00223874" w:rsidRDefault="00223874" w:rsidP="00223874">
      <w:pPr>
        <w:pStyle w:val="Odstavecseseznamem"/>
        <w:suppressAutoHyphens/>
        <w:spacing w:after="0" w:line="240" w:lineRule="auto"/>
        <w:jc w:val="both"/>
        <w:rPr>
          <w:rFonts w:cs="Times New Roman"/>
        </w:rPr>
      </w:pPr>
      <w:r w:rsidRPr="00223874">
        <w:rPr>
          <w:rFonts w:cs="Times New Roman"/>
        </w:rPr>
        <w:t>a) v internetovém systému prodávajícího na adrese:</w:t>
      </w:r>
      <w:r w:rsidRPr="00223874">
        <w:rPr>
          <w:rFonts w:cs="Times New Roman"/>
        </w:rPr>
        <w:tab/>
      </w:r>
      <w:hyperlink r:id="rId8" w:history="1">
        <w:r w:rsidRPr="00223874">
          <w:rPr>
            <w:rStyle w:val="Hypertextovodkaz"/>
            <w:rFonts w:cs="Times New Roman"/>
          </w:rPr>
          <w:t>https://epin.phoenix.cz</w:t>
        </w:r>
      </w:hyperlink>
      <w:r w:rsidRPr="00223874">
        <w:rPr>
          <w:rFonts w:cs="Times New Roman"/>
        </w:rPr>
        <w:t xml:space="preserve">  nebo, </w:t>
      </w:r>
    </w:p>
    <w:p w:rsidR="00223874" w:rsidRPr="00223874" w:rsidRDefault="00223874" w:rsidP="00223874">
      <w:pPr>
        <w:pStyle w:val="Odstavecseseznamem"/>
        <w:suppressAutoHyphens/>
        <w:spacing w:after="0" w:line="240" w:lineRule="auto"/>
        <w:jc w:val="both"/>
        <w:rPr>
          <w:rFonts w:cs="Times New Roman"/>
        </w:rPr>
      </w:pPr>
      <w:r w:rsidRPr="00223874">
        <w:rPr>
          <w:rFonts w:cs="Times New Roman"/>
        </w:rPr>
        <w:t>b) telefonicky, a to na tel. čísle</w:t>
      </w:r>
      <w:r w:rsidRPr="00223874">
        <w:rPr>
          <w:rFonts w:cs="Times New Roman"/>
        </w:rPr>
        <w:tab/>
      </w:r>
      <w:r w:rsidRPr="00223874">
        <w:rPr>
          <w:rFonts w:cs="Times New Roman"/>
        </w:rPr>
        <w:tab/>
      </w:r>
      <w:r w:rsidRPr="00223874">
        <w:rPr>
          <w:rFonts w:cs="Times New Roman"/>
        </w:rPr>
        <w:tab/>
      </w:r>
      <w:r w:rsidRPr="00223874">
        <w:rPr>
          <w:rFonts w:cs="Times New Roman"/>
        </w:rPr>
        <w:tab/>
        <w:t>800 800</w:t>
      </w:r>
      <w:r>
        <w:rPr>
          <w:rFonts w:cs="Times New Roman"/>
        </w:rPr>
        <w:t> </w:t>
      </w:r>
      <w:r w:rsidRPr="00223874">
        <w:rPr>
          <w:rFonts w:cs="Times New Roman"/>
        </w:rPr>
        <w:t>830</w:t>
      </w:r>
    </w:p>
    <w:p w:rsidR="00DD3F93" w:rsidRPr="00B47E2F" w:rsidRDefault="00877883" w:rsidP="00077613">
      <w:pPr>
        <w:suppressAutoHyphens/>
        <w:spacing w:after="0" w:line="240" w:lineRule="auto"/>
        <w:ind w:left="340"/>
        <w:jc w:val="both"/>
        <w:rPr>
          <w:rFonts w:cs="Times New Roman"/>
        </w:rPr>
      </w:pPr>
      <w:r w:rsidRPr="00B47E2F">
        <w:rPr>
          <w:rFonts w:cs="Times New Roman"/>
        </w:rPr>
        <w:t xml:space="preserve">datovým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006504FF" w:rsidRPr="00B47E2F">
        <w:rPr>
          <w:rFonts w:cs="Times New Roman"/>
        </w:rPr>
        <w:t xml:space="preserve">, </w:t>
      </w:r>
      <w:proofErr w:type="spellStart"/>
      <w:r w:rsidR="006504FF" w:rsidRPr="00B47E2F">
        <w:rPr>
          <w:rFonts w:cs="Times New Roman"/>
        </w:rPr>
        <w:t>Doctis</w:t>
      </w:r>
      <w:proofErr w:type="spellEnd"/>
      <w:r w:rsidR="006504FF" w:rsidRPr="00B47E2F">
        <w:rPr>
          <w:rFonts w:cs="Times New Roman"/>
        </w:rPr>
        <w:t>, Navision</w:t>
      </w:r>
      <w:r w:rsidRPr="00B47E2F">
        <w:rPr>
          <w:rFonts w:cs="Times New Roman"/>
        </w:rPr>
        <w:t xml:space="preserve">.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1: </w:t>
      </w:r>
      <w:proofErr w:type="spellStart"/>
      <w:r w:rsidR="00FE7528">
        <w:rPr>
          <w:rFonts w:cs="Times New Roman"/>
          <w:i/>
        </w:rPr>
        <w:t>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FE7528">
        <w:rPr>
          <w:rFonts w:cs="Times New Roman"/>
          <w:i/>
        </w:rPr>
        <w:t>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r w:rsidRPr="00B47E2F">
        <w:rPr>
          <w:rFonts w:cs="Times New Roman"/>
        </w:rPr>
        <w:t xml:space="preserve">3: </w:t>
      </w:r>
      <w:proofErr w:type="spellStart"/>
      <w:r w:rsidR="00FE7528">
        <w:rPr>
          <w:rFonts w:cs="Times New Roman"/>
          <w:i/>
        </w:rPr>
        <w:t>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proofErr w:type="spellStart"/>
      <w:r w:rsidR="00FE7528">
        <w:rPr>
          <w:rFonts w:cs="Times New Roman"/>
          <w:i/>
        </w:rPr>
        <w:t>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Prodávajícího: </w:t>
      </w:r>
      <w:r w:rsidR="00223874">
        <w:rPr>
          <w:rFonts w:cs="Times New Roman"/>
        </w:rPr>
        <w:t>automaticky na portálu Phoenix lékárenský velkoobchod systémem E-PIN.</w:t>
      </w:r>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B47E2F">
        <w:rPr>
          <w:rFonts w:eastAsia="Calibri" w:cs="Times New Roman"/>
        </w:rPr>
        <w:lastRenderedPageBreak/>
        <w:t xml:space="preserve">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proofErr w:type="spellStart"/>
      <w:r w:rsidR="00362100" w:rsidRPr="00B47E2F">
        <w:rPr>
          <w:rFonts w:cs="Times New Roman"/>
        </w:rPr>
        <w:t>expira</w:t>
      </w:r>
      <w:r w:rsidRPr="00B47E2F">
        <w:rPr>
          <w:rFonts w:cs="Times New Roman"/>
        </w:rPr>
        <w:t>ce</w:t>
      </w:r>
      <w:proofErr w:type="spellEnd"/>
      <w:r w:rsidRPr="00B47E2F">
        <w:rPr>
          <w:rFonts w:cs="Times New Roman"/>
        </w:rPr>
        <w:t xml:space="preserv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637C06" w:rsidRDefault="00637C06" w:rsidP="00077613">
      <w:pPr>
        <w:suppressAutoHyphens/>
        <w:spacing w:before="120" w:after="120" w:line="240" w:lineRule="auto"/>
        <w:jc w:val="center"/>
        <w:rPr>
          <w:rFonts w:eastAsia="Calibri" w:cs="Times New Roman"/>
          <w:b/>
        </w:rPr>
      </w:pPr>
    </w:p>
    <w:p w:rsidR="00637C06" w:rsidRDefault="00637C06" w:rsidP="00077613">
      <w:pPr>
        <w:suppressAutoHyphens/>
        <w:spacing w:before="120" w:after="120" w:line="240" w:lineRule="auto"/>
        <w:jc w:val="center"/>
        <w:rPr>
          <w:rFonts w:eastAsia="Calibri" w:cs="Times New Roman"/>
          <w:b/>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Pr="00B47E2F" w:rsidRDefault="00533E6D" w:rsidP="00077613">
      <w:pPr>
        <w:suppressAutoHyphens/>
        <w:spacing w:after="0" w:line="240" w:lineRule="auto"/>
        <w:ind w:left="340"/>
        <w:jc w:val="both"/>
        <w:rPr>
          <w:rFonts w:cs="Times New Roman"/>
        </w:rPr>
      </w:pPr>
      <w:r w:rsidRPr="00B47E2F">
        <w:rPr>
          <w:rFonts w:cs="Times New Roman"/>
        </w:rPr>
        <w:t xml:space="preserve">u Kupujícího č. 1 a 2 </w:t>
      </w:r>
      <w:r w:rsidR="00B80C34" w:rsidRPr="00B47E2F">
        <w:rPr>
          <w:rFonts w:cs="Times New Roman"/>
        </w:rPr>
        <w:t>od 7:00 – 1</w:t>
      </w:r>
      <w:r w:rsidRPr="00B47E2F">
        <w:rPr>
          <w:rFonts w:cs="Times New Roman"/>
        </w:rPr>
        <w:t>6</w:t>
      </w:r>
      <w:r w:rsidR="00B80C34" w:rsidRPr="00B47E2F">
        <w:rPr>
          <w:rFonts w:cs="Times New Roman"/>
        </w:rPr>
        <w:t xml:space="preserve">.00 </w:t>
      </w:r>
      <w:r w:rsidRPr="00B47E2F">
        <w:rPr>
          <w:rFonts w:cs="Times New Roman"/>
        </w:rPr>
        <w:t>hod</w:t>
      </w:r>
      <w:r w:rsidR="00717C7B" w:rsidRPr="00B47E2F">
        <w:rPr>
          <w:rFonts w:cs="Times New Roman"/>
        </w:rPr>
        <w:t>in</w:t>
      </w:r>
      <w:r w:rsidRPr="00B47E2F">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o č. 3 a 4 od 7:00 –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proofErr w:type="spellStart"/>
      <w:r w:rsidRPr="00B47E2F">
        <w:rPr>
          <w:rFonts w:cs="Segoe UI"/>
          <w:iCs/>
          <w:color w:val="000000"/>
        </w:rPr>
        <w:t>xxxxx</w:t>
      </w:r>
      <w:proofErr w:type="spellEnd"/>
      <w:r w:rsidRPr="00B47E2F">
        <w:rPr>
          <w:rFonts w:cs="Segoe UI"/>
          <w:iCs/>
          <w:color w:val="000000"/>
        </w:rPr>
        <w:t xml:space="preserve"> (číslo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4" w:name="_Toc327953145"/>
      <w:bookmarkStart w:id="5"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4"/>
      <w:bookmarkEnd w:id="5"/>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w:t>
      </w:r>
      <w:r w:rsidRPr="00B47E2F">
        <w:rPr>
          <w:rFonts w:cs="Times New Roman"/>
        </w:rPr>
        <w:lastRenderedPageBreak/>
        <w:t xml:space="preserve">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E61C42" w:rsidRPr="00B47E2F" w:rsidRDefault="00E61C42" w:rsidP="00FF20E9">
      <w:pPr>
        <w:spacing w:after="0" w:line="240" w:lineRule="auto"/>
        <w:rPr>
          <w:rFonts w:eastAsia="Calibri" w:cs="Times New Roman"/>
        </w:rPr>
      </w:pP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B47E2F" w:rsidRDefault="00B6264D" w:rsidP="0085647B">
      <w:pPr>
        <w:spacing w:after="0" w:line="240" w:lineRule="auto"/>
        <w:jc w:val="both"/>
        <w:rPr>
          <w:rFonts w:eastAsia="Calibri" w:cs="Times New Roman"/>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443A13">
      <w:pPr>
        <w:pStyle w:val="Odstavecseseznamem"/>
        <w:numPr>
          <w:ilvl w:val="0"/>
          <w:numId w:val="29"/>
        </w:numPr>
        <w:spacing w:after="0" w:line="240" w:lineRule="auto"/>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443A13" w:rsidRPr="00B47E2F" w:rsidRDefault="00443A13" w:rsidP="00443A13">
      <w:pPr>
        <w:spacing w:after="0" w:line="240" w:lineRule="auto"/>
        <w:jc w:val="both"/>
        <w:rPr>
          <w:rFonts w:eastAsia="Calibri" w:cs="Times New Roman"/>
        </w:rPr>
      </w:pP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62965">
      <w:pPr>
        <w:pStyle w:val="Odstavecseseznamem"/>
        <w:numPr>
          <w:ilvl w:val="0"/>
          <w:numId w:val="22"/>
        </w:numPr>
        <w:spacing w:after="12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4 let od účinnosti této Smlouvy. Po prvních 12 měsících účinnosti smlouvy ji </w:t>
      </w:r>
      <w:r w:rsidRPr="00B47E2F">
        <w:rPr>
          <w:rFonts w:eastAsia="Calibri" w:cs="Times New Roman"/>
        </w:rPr>
        <w:t xml:space="preserve">mohou smluvní strany písemně vypovědět s výpovědní dobou 3 měsíců. Výpovědní doba začne běžet prvním dnem měsíce následujícího po doručení výpovědi.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lastRenderedPageBreak/>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Pr="00B47E2F" w:rsidRDefault="009A20EF"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FE7528">
        <w:rPr>
          <w:rFonts w:eastAsia="Times New Roman" w:cs="Times New Roman"/>
          <w:lang w:eastAsia="cs-CZ"/>
        </w:rPr>
        <w:t xml:space="preserve"> 30. 9. 2019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FE7528">
        <w:rPr>
          <w:rFonts w:eastAsia="Times New Roman" w:cs="Times New Roman"/>
          <w:lang w:eastAsia="cs-CZ"/>
        </w:rPr>
        <w:t xml:space="preserve"> 30. 9. 2019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FE7528">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w:t>
      </w:r>
      <w:r w:rsidR="00FE7528">
        <w:rPr>
          <w:rFonts w:eastAsia="Times New Roman" w:cs="Times New Roman"/>
          <w:lang w:eastAsia="cs-CZ"/>
        </w:rPr>
        <w:t>ka</w:t>
      </w:r>
      <w:r w:rsidR="00063EAA" w:rsidRPr="00B47E2F">
        <w:rPr>
          <w:rFonts w:eastAsia="Times New Roman" w:cs="Times New Roman"/>
          <w:lang w:eastAsia="cs-CZ"/>
        </w:rPr>
        <w:t xml:space="preserve">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FE7528">
        <w:rPr>
          <w:rFonts w:eastAsia="Times New Roman" w:cs="Times New Roman"/>
          <w:lang w:eastAsia="cs-CZ"/>
        </w:rPr>
        <w:t xml:space="preserve"> 18. 10. 2019</w:t>
      </w:r>
      <w:r w:rsidR="00063EAA" w:rsidRPr="00B47E2F">
        <w:rPr>
          <w:rFonts w:eastAsia="Times New Roman" w:cs="Times New Roman"/>
          <w:lang w:eastAsia="cs-CZ"/>
        </w:rPr>
        <w:tab/>
        <w:t>V Kroměříži dne</w:t>
      </w:r>
      <w:r w:rsidR="00FE7528">
        <w:rPr>
          <w:rFonts w:eastAsia="Times New Roman" w:cs="Times New Roman"/>
          <w:lang w:eastAsia="cs-CZ"/>
        </w:rPr>
        <w:t xml:space="preserve"> 1. 10. 2019</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FE7528">
        <w:rPr>
          <w:rFonts w:eastAsia="Times New Roman" w:cs="Times New Roman"/>
          <w:lang w:eastAsia="cs-CZ"/>
        </w:rPr>
        <w:t xml:space="preserve"> 25. 10. 2019</w:t>
      </w:r>
      <w:bookmarkStart w:id="6" w:name="_GoBack"/>
      <w:bookmarkEnd w:id="6"/>
      <w:r w:rsidR="00FD62CE" w:rsidRPr="00B47E2F">
        <w:rPr>
          <w:rFonts w:eastAsia="Times New Roman" w:cs="Times New Roman"/>
          <w:lang w:eastAsia="cs-CZ"/>
        </w:rPr>
        <w:tab/>
      </w:r>
      <w:r w:rsidR="00FE7528">
        <w:rPr>
          <w:rFonts w:eastAsia="Times New Roman" w:cs="Times New Roman"/>
          <w:lang w:eastAsia="cs-CZ"/>
        </w:rPr>
        <w:t>V Praze</w:t>
      </w:r>
      <w:r w:rsidRPr="00B47E2F">
        <w:rPr>
          <w:rFonts w:eastAsia="Times New Roman" w:cs="Times New Roman"/>
          <w:lang w:eastAsia="cs-CZ"/>
        </w:rPr>
        <w:t xml:space="preserve"> dne</w:t>
      </w:r>
      <w:r w:rsidR="00FE7528">
        <w:rPr>
          <w:rFonts w:eastAsia="Times New Roman" w:cs="Times New Roman"/>
          <w:lang w:eastAsia="cs-CZ"/>
        </w:rPr>
        <w:t xml:space="preserve"> 19. 9. 2019 2019</w:t>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765B0B" w:rsidRPr="00B47E2F">
        <w:rPr>
          <w:rFonts w:eastAsia="Times New Roman" w:cs="Times New Roman"/>
          <w:lang w:eastAsia="cs-CZ"/>
        </w:rPr>
        <w:t>………………………………………………</w:t>
      </w:r>
    </w:p>
    <w:p w:rsidR="002833C5"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r w:rsidR="00765B0B" w:rsidRPr="00B47E2F">
        <w:rPr>
          <w:rFonts w:eastAsia="Times New Roman" w:cs="Times New Roman"/>
          <w:lang w:eastAsia="cs-CZ"/>
        </w:rPr>
        <w:t>Za Prodávajícího</w:t>
      </w:r>
    </w:p>
    <w:p w:rsidR="00765B0B" w:rsidRPr="00B47E2F" w:rsidRDefault="00765B0B"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 xml:space="preserve">Ing. Věra </w:t>
      </w:r>
      <w:proofErr w:type="spellStart"/>
      <w:r w:rsidRPr="00B47E2F">
        <w:rPr>
          <w:rFonts w:eastAsia="Times New Roman" w:cs="Times New Roman"/>
          <w:i/>
          <w:lang w:eastAsia="cs-CZ"/>
        </w:rPr>
        <w:t>Prousková</w:t>
      </w:r>
      <w:proofErr w:type="spellEnd"/>
      <w:r w:rsidRPr="00B47E2F">
        <w:rPr>
          <w:rFonts w:eastAsia="Times New Roman" w:cs="Times New Roman"/>
          <w:i/>
          <w:lang w:eastAsia="cs-CZ"/>
        </w:rPr>
        <w:t>, MBA</w:t>
      </w:r>
      <w:r w:rsidRPr="00B47E2F">
        <w:rPr>
          <w:rFonts w:eastAsia="Times New Roman" w:cs="Times New Roman"/>
          <w:i/>
          <w:lang w:eastAsia="cs-CZ"/>
        </w:rPr>
        <w:tab/>
      </w:r>
      <w:r w:rsidR="002833C5">
        <w:rPr>
          <w:rFonts w:eastAsia="Times New Roman" w:cs="Times New Roman"/>
          <w:i/>
          <w:lang w:eastAsia="cs-CZ"/>
        </w:rPr>
        <w:t>Mgr. Ondřej Halasz</w:t>
      </w:r>
      <w:r w:rsidRPr="00B47E2F">
        <w:rPr>
          <w:rFonts w:eastAsia="Times New Roman" w:cs="Times New Roman"/>
          <w:i/>
          <w:lang w:eastAsia="cs-CZ"/>
        </w:rPr>
        <w:tab/>
      </w:r>
      <w:r w:rsidRPr="00B47E2F">
        <w:rPr>
          <w:rFonts w:eastAsia="Times New Roman" w:cs="Times New Roman"/>
          <w:i/>
          <w:lang w:eastAsia="cs-CZ"/>
        </w:rPr>
        <w:tab/>
      </w:r>
      <w:r w:rsidRPr="00B47E2F">
        <w:rPr>
          <w:rFonts w:eastAsia="Times New Roman" w:cs="Times New Roman"/>
          <w:i/>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r w:rsidR="002833C5">
        <w:rPr>
          <w:rFonts w:eastAsia="Times New Roman" w:cs="Times New Roman"/>
          <w:lang w:eastAsia="cs-CZ"/>
        </w:rPr>
        <w:t>Jednatel společnosti</w:t>
      </w:r>
    </w:p>
    <w:p w:rsidR="00BE278C" w:rsidRPr="00B47E2F" w:rsidRDefault="00765B0B" w:rsidP="0085647B">
      <w:pPr>
        <w:widowControl w:val="0"/>
        <w:tabs>
          <w:tab w:val="left" w:pos="4536"/>
        </w:tabs>
        <w:spacing w:after="0" w:line="240" w:lineRule="auto"/>
        <w:jc w:val="both"/>
        <w:rPr>
          <w:rFonts w:cs="Arial"/>
          <w:b/>
        </w:rPr>
      </w:pPr>
      <w:r w:rsidRPr="00B47E2F">
        <w:rPr>
          <w:rFonts w:eastAsia="Times New Roman" w:cs="Times New Roman"/>
          <w:b/>
          <w:lang w:eastAsia="cs-CZ"/>
        </w:rPr>
        <w:t>Vsetínská nemocnice a.s.</w:t>
      </w:r>
      <w:r w:rsidR="002833C5">
        <w:rPr>
          <w:rFonts w:eastAsia="Times New Roman" w:cs="Times New Roman"/>
          <w:b/>
          <w:lang w:eastAsia="cs-CZ"/>
        </w:rPr>
        <w:tab/>
        <w:t>CSL Behring s.r.o.</w:t>
      </w:r>
    </w:p>
    <w:sectPr w:rsidR="00BE278C" w:rsidRPr="00B47E2F" w:rsidSect="00077613">
      <w:headerReference w:type="default" r:id="rId9"/>
      <w:footerReference w:type="default" r:id="rId1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EB" w:rsidRDefault="00F222EB" w:rsidP="00090F5B">
      <w:pPr>
        <w:spacing w:after="0" w:line="240" w:lineRule="auto"/>
      </w:pPr>
      <w:r>
        <w:separator/>
      </w:r>
    </w:p>
  </w:endnote>
  <w:endnote w:type="continuationSeparator" w:id="0">
    <w:p w:rsidR="00F222EB" w:rsidRDefault="00F222EB"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080795">
          <w:rPr>
            <w:noProof/>
          </w:rPr>
          <w:fldChar w:fldCharType="begin"/>
        </w:r>
        <w:r w:rsidR="00080795">
          <w:rPr>
            <w:noProof/>
          </w:rPr>
          <w:instrText>PAGE   \* MERGEFORMAT</w:instrText>
        </w:r>
        <w:r w:rsidR="00080795">
          <w:rPr>
            <w:noProof/>
          </w:rPr>
          <w:fldChar w:fldCharType="separate"/>
        </w:r>
        <w:r w:rsidR="00FE7528">
          <w:rPr>
            <w:noProof/>
          </w:rPr>
          <w:t>7</w:t>
        </w:r>
        <w:r w:rsidR="00080795">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EB" w:rsidRDefault="00F222EB" w:rsidP="00090F5B">
      <w:pPr>
        <w:spacing w:after="0" w:line="240" w:lineRule="auto"/>
      </w:pPr>
      <w:r>
        <w:separator/>
      </w:r>
    </w:p>
  </w:footnote>
  <w:footnote w:type="continuationSeparator" w:id="0">
    <w:p w:rsidR="00F222EB" w:rsidRDefault="00F222EB" w:rsidP="00090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13" w:rsidRPr="00077613" w:rsidRDefault="00077613" w:rsidP="00077613">
    <w:pPr>
      <w:pStyle w:val="Zhlav"/>
      <w:jc w:val="right"/>
      <w:rPr>
        <w:b/>
      </w:rPr>
    </w:pPr>
    <w:r>
      <w:rPr>
        <w:b/>
      </w:rPr>
      <w:t>VZ č. 19025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8C"/>
    <w:rsid w:val="000347F2"/>
    <w:rsid w:val="00037152"/>
    <w:rsid w:val="00046B52"/>
    <w:rsid w:val="00062965"/>
    <w:rsid w:val="00063EAA"/>
    <w:rsid w:val="00065486"/>
    <w:rsid w:val="00077613"/>
    <w:rsid w:val="00080795"/>
    <w:rsid w:val="00090F5B"/>
    <w:rsid w:val="000B4AE1"/>
    <w:rsid w:val="000E5453"/>
    <w:rsid w:val="001123FD"/>
    <w:rsid w:val="001652F8"/>
    <w:rsid w:val="001E6B58"/>
    <w:rsid w:val="001F72D3"/>
    <w:rsid w:val="0021030B"/>
    <w:rsid w:val="00215DAA"/>
    <w:rsid w:val="00223874"/>
    <w:rsid w:val="00223EC4"/>
    <w:rsid w:val="00224551"/>
    <w:rsid w:val="002372E9"/>
    <w:rsid w:val="00245617"/>
    <w:rsid w:val="0025707F"/>
    <w:rsid w:val="00270BDD"/>
    <w:rsid w:val="002833C5"/>
    <w:rsid w:val="002A72E6"/>
    <w:rsid w:val="002D0169"/>
    <w:rsid w:val="002E44B3"/>
    <w:rsid w:val="002F6A9E"/>
    <w:rsid w:val="0031597C"/>
    <w:rsid w:val="003301B5"/>
    <w:rsid w:val="0035246B"/>
    <w:rsid w:val="003563B0"/>
    <w:rsid w:val="00362100"/>
    <w:rsid w:val="00375FE8"/>
    <w:rsid w:val="00381713"/>
    <w:rsid w:val="0039557F"/>
    <w:rsid w:val="003E2199"/>
    <w:rsid w:val="003E26F3"/>
    <w:rsid w:val="004045BC"/>
    <w:rsid w:val="004313A0"/>
    <w:rsid w:val="00436F8C"/>
    <w:rsid w:val="00437DDF"/>
    <w:rsid w:val="00443767"/>
    <w:rsid w:val="00443A13"/>
    <w:rsid w:val="00471385"/>
    <w:rsid w:val="004733FD"/>
    <w:rsid w:val="00475D0B"/>
    <w:rsid w:val="004772BE"/>
    <w:rsid w:val="00484C62"/>
    <w:rsid w:val="004D26C2"/>
    <w:rsid w:val="004E117A"/>
    <w:rsid w:val="004F60EF"/>
    <w:rsid w:val="005126EB"/>
    <w:rsid w:val="005242D2"/>
    <w:rsid w:val="00524B99"/>
    <w:rsid w:val="00533E6D"/>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37C06"/>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831A70"/>
    <w:rsid w:val="008513C6"/>
    <w:rsid w:val="0085647B"/>
    <w:rsid w:val="0086165C"/>
    <w:rsid w:val="00877883"/>
    <w:rsid w:val="00887CE2"/>
    <w:rsid w:val="008A68F5"/>
    <w:rsid w:val="008B1802"/>
    <w:rsid w:val="008C2301"/>
    <w:rsid w:val="008D4E68"/>
    <w:rsid w:val="00925012"/>
    <w:rsid w:val="009354AD"/>
    <w:rsid w:val="00945B23"/>
    <w:rsid w:val="00957BD8"/>
    <w:rsid w:val="00970F89"/>
    <w:rsid w:val="00994392"/>
    <w:rsid w:val="00996029"/>
    <w:rsid w:val="009A20EF"/>
    <w:rsid w:val="009B4A35"/>
    <w:rsid w:val="00A4341D"/>
    <w:rsid w:val="00A85CE9"/>
    <w:rsid w:val="00A86751"/>
    <w:rsid w:val="00A87A70"/>
    <w:rsid w:val="00AC718A"/>
    <w:rsid w:val="00AE2511"/>
    <w:rsid w:val="00AF038F"/>
    <w:rsid w:val="00AF07F5"/>
    <w:rsid w:val="00B02143"/>
    <w:rsid w:val="00B04819"/>
    <w:rsid w:val="00B20561"/>
    <w:rsid w:val="00B21321"/>
    <w:rsid w:val="00B34893"/>
    <w:rsid w:val="00B47E2F"/>
    <w:rsid w:val="00B531E5"/>
    <w:rsid w:val="00B6264D"/>
    <w:rsid w:val="00B66E01"/>
    <w:rsid w:val="00B6702C"/>
    <w:rsid w:val="00B80C34"/>
    <w:rsid w:val="00B92A31"/>
    <w:rsid w:val="00BA3DEC"/>
    <w:rsid w:val="00BB526B"/>
    <w:rsid w:val="00BD2192"/>
    <w:rsid w:val="00BE2365"/>
    <w:rsid w:val="00BE278C"/>
    <w:rsid w:val="00C04967"/>
    <w:rsid w:val="00C365D5"/>
    <w:rsid w:val="00C40288"/>
    <w:rsid w:val="00C41C64"/>
    <w:rsid w:val="00C67153"/>
    <w:rsid w:val="00C7477C"/>
    <w:rsid w:val="00C85149"/>
    <w:rsid w:val="00C872B8"/>
    <w:rsid w:val="00C967A5"/>
    <w:rsid w:val="00CA060C"/>
    <w:rsid w:val="00CC1E4E"/>
    <w:rsid w:val="00CD7E87"/>
    <w:rsid w:val="00CE4F07"/>
    <w:rsid w:val="00CF1B7D"/>
    <w:rsid w:val="00D276F3"/>
    <w:rsid w:val="00D27F88"/>
    <w:rsid w:val="00D32740"/>
    <w:rsid w:val="00D520C2"/>
    <w:rsid w:val="00D56E86"/>
    <w:rsid w:val="00D75A50"/>
    <w:rsid w:val="00D80110"/>
    <w:rsid w:val="00D80CFB"/>
    <w:rsid w:val="00D92474"/>
    <w:rsid w:val="00D96406"/>
    <w:rsid w:val="00DB7AD8"/>
    <w:rsid w:val="00DC6C89"/>
    <w:rsid w:val="00DD3F93"/>
    <w:rsid w:val="00DE798E"/>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7962"/>
    <w:rsid w:val="00F0246F"/>
    <w:rsid w:val="00F13FDC"/>
    <w:rsid w:val="00F222EB"/>
    <w:rsid w:val="00F26C41"/>
    <w:rsid w:val="00F37B66"/>
    <w:rsid w:val="00F4663E"/>
    <w:rsid w:val="00F71F0A"/>
    <w:rsid w:val="00F74A0A"/>
    <w:rsid w:val="00F7747D"/>
    <w:rsid w:val="00F844F1"/>
    <w:rsid w:val="00F95B0C"/>
    <w:rsid w:val="00FC1CBB"/>
    <w:rsid w:val="00FC3D05"/>
    <w:rsid w:val="00FD62CE"/>
    <w:rsid w:val="00FE7528"/>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n.phoenix.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3021</Words>
  <Characters>17824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 Gabriela Vinklerová</cp:lastModifiedBy>
  <cp:revision>4</cp:revision>
  <cp:lastPrinted>2019-05-06T11:07:00Z</cp:lastPrinted>
  <dcterms:created xsi:type="dcterms:W3CDTF">2019-06-17T10:22:00Z</dcterms:created>
  <dcterms:modified xsi:type="dcterms:W3CDTF">2019-10-31T08:13:00Z</dcterms:modified>
</cp:coreProperties>
</file>