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60" w:right="0" w:firstLine="0"/>
        <w:jc w:val="left"/>
        <w:rPr>
          <w:sz w:val="32"/>
        </w:rPr>
      </w:pPr>
      <w:r>
        <w:rPr>
          <w:sz w:val="32"/>
        </w:rPr>
        <w:t>Splátkový kalendář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3969" w:val="left" w:leader="none"/>
        </w:tabs>
        <w:spacing w:before="19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Město Skuteč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Revitalizace zimního stadionu Skuteč - strojovna chlazení a ledová plocha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3 - Odpady a materiálové toky, ekologické zátěže a rizika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439"/>
        <w:gridCol w:w="3705"/>
        <w:gridCol w:w="2702"/>
      </w:tblGrid>
      <w:tr>
        <w:trPr>
          <w:trHeight w:val="238" w:hRule="exac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439" w:type="dxa"/>
          </w:tcPr>
          <w:p>
            <w:pPr>
              <w:pStyle w:val="TableParagraph"/>
              <w:spacing w:line="183" w:lineRule="exact" w:before="0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2017010003</w:t>
            </w:r>
          </w:p>
        </w:tc>
        <w:tc>
          <w:tcPr>
            <w:tcW w:w="3705" w:type="dxa"/>
          </w:tcPr>
          <w:p>
            <w:pPr>
              <w:pStyle w:val="TableParagraph"/>
              <w:spacing w:line="183" w:lineRule="exact" w:before="0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line="183" w:lineRule="exact" w:before="0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Sejkora Ondřej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37319695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Stanková Kristýna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2" w:type="dxa"/>
          </w:tcPr>
          <w:p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Kuncířová Magda</w:t>
            </w:r>
          </w:p>
        </w:tc>
      </w:tr>
      <w:tr>
        <w:trPr>
          <w:trHeight w:val="296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15.10.2019</w:t>
            </w:r>
          </w:p>
        </w:tc>
        <w:tc>
          <w:tcPr>
            <w:tcW w:w="3705" w:type="dxa"/>
          </w:tcPr>
          <w:p>
            <w:pPr/>
          </w:p>
        </w:tc>
        <w:tc>
          <w:tcPr>
            <w:tcW w:w="2702" w:type="dxa"/>
          </w:tcPr>
          <w:p>
            <w:pPr/>
          </w:p>
        </w:tc>
      </w:tr>
      <w:tr>
        <w:trPr>
          <w:trHeight w:val="238" w:hRule="exac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SFZP 056161/2018</w:t>
            </w:r>
          </w:p>
        </w:tc>
        <w:tc>
          <w:tcPr>
            <w:tcW w:w="3705" w:type="dxa"/>
          </w:tcPr>
          <w:p>
            <w:pPr/>
          </w:p>
        </w:tc>
        <w:tc>
          <w:tcPr>
            <w:tcW w:w="2702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35"/>
        <w:gridCol w:w="2019"/>
        <w:gridCol w:w="3100"/>
        <w:gridCol w:w="3404"/>
        <w:gridCol w:w="2682"/>
        <w:gridCol w:w="2347"/>
      </w:tblGrid>
      <w:tr>
        <w:trPr>
          <w:trHeight w:val="248" w:hRule="exact"/>
        </w:trPr>
        <w:tc>
          <w:tcPr>
            <w:tcW w:w="773" w:type="dxa"/>
          </w:tcPr>
          <w:p>
            <w:pPr>
              <w:pStyle w:val="TableParagraph"/>
              <w:spacing w:line="184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35" w:type="dxa"/>
          </w:tcPr>
          <w:p>
            <w:pPr>
              <w:pStyle w:val="TableParagraph"/>
              <w:spacing w:line="184" w:lineRule="exact" w:before="0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19" w:type="dxa"/>
          </w:tcPr>
          <w:p>
            <w:pPr>
              <w:pStyle w:val="TableParagraph"/>
              <w:spacing w:line="184" w:lineRule="exact" w:before="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100" w:type="dxa"/>
          </w:tcPr>
          <w:p>
            <w:pPr>
              <w:pStyle w:val="TableParagraph"/>
              <w:spacing w:line="184" w:lineRule="exact" w:before="0"/>
              <w:ind w:right="759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04" w:type="dxa"/>
          </w:tcPr>
          <w:p>
            <w:pPr>
              <w:pStyle w:val="TableParagraph"/>
              <w:spacing w:line="184" w:lineRule="exact" w:before="0"/>
              <w:ind w:right="1114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82" w:type="dxa"/>
          </w:tcPr>
          <w:p>
            <w:pPr>
              <w:pStyle w:val="TableParagraph"/>
              <w:spacing w:line="184" w:lineRule="exact" w:before="0"/>
              <w:ind w:right="749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47" w:type="dxa"/>
          </w:tcPr>
          <w:p>
            <w:pPr>
              <w:pStyle w:val="TableParagraph"/>
              <w:spacing w:line="184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73" w:type="dxa"/>
          </w:tcPr>
          <w:p>
            <w:pPr>
              <w:pStyle w:val="TableParagraph"/>
              <w:spacing w:before="4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019" w:type="dxa"/>
          </w:tcPr>
          <w:p>
            <w:pPr>
              <w:pStyle w:val="TableParagraph"/>
              <w:spacing w:before="4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41"/>
              <w:ind w:right="779"/>
              <w:rPr>
                <w:sz w:val="18"/>
              </w:rPr>
            </w:pPr>
            <w:r>
              <w:rPr>
                <w:sz w:val="18"/>
              </w:rPr>
              <w:t>17 744 916,45</w:t>
            </w:r>
          </w:p>
        </w:tc>
        <w:tc>
          <w:tcPr>
            <w:tcW w:w="3404" w:type="dxa"/>
          </w:tcPr>
          <w:p>
            <w:pPr>
              <w:pStyle w:val="TableParagraph"/>
              <w:spacing w:before="4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41"/>
              <w:ind w:right="7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47" w:type="dxa"/>
          </w:tcPr>
          <w:p>
            <w:pPr>
              <w:pStyle w:val="TableParagraph"/>
              <w:spacing w:before="41"/>
              <w:ind w:right="68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17 301 293,53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19 463,96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463 086,88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16 857 670,61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18 964,88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462 587,80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16 414 047,69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18 465,80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462 088,72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15 970 424,77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17 966,73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461 589,65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15 526 801,85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17 467,65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461 090,57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15 083 178,93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16 968,58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460 591,50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14 639 556,01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16 469,50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460 092,42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14 195 933,09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15 970,42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459 593,34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13 752 310,17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15 471,35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459 094,27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13 308 687,25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14 972,27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458 595,19</w:t>
            </w:r>
          </w:p>
        </w:tc>
      </w:tr>
      <w:tr>
        <w:trPr>
          <w:trHeight w:val="258" w:hRule="exact"/>
        </w:trPr>
        <w:tc>
          <w:tcPr>
            <w:tcW w:w="773" w:type="dxa"/>
          </w:tcPr>
          <w:p>
            <w:pPr>
              <w:pStyle w:val="TableParagraph"/>
              <w:spacing w:before="51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35" w:type="dxa"/>
          </w:tcPr>
          <w:p>
            <w:pPr>
              <w:pStyle w:val="TableParagraph"/>
              <w:spacing w:before="5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019" w:type="dxa"/>
          </w:tcPr>
          <w:p>
            <w:pPr>
              <w:pStyle w:val="TableParagraph"/>
              <w:spacing w:before="51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51"/>
              <w:ind w:right="779"/>
              <w:rPr>
                <w:sz w:val="18"/>
              </w:rPr>
            </w:pPr>
            <w:r>
              <w:rPr>
                <w:sz w:val="18"/>
              </w:rPr>
              <w:t>12 865 064,33</w:t>
            </w:r>
          </w:p>
        </w:tc>
        <w:tc>
          <w:tcPr>
            <w:tcW w:w="3404" w:type="dxa"/>
          </w:tcPr>
          <w:p>
            <w:pPr>
              <w:pStyle w:val="TableParagraph"/>
              <w:spacing w:before="51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right="769"/>
              <w:rPr>
                <w:sz w:val="18"/>
              </w:rPr>
            </w:pPr>
            <w:r>
              <w:rPr>
                <w:sz w:val="18"/>
              </w:rPr>
              <w:t>14 473,20</w:t>
            </w:r>
          </w:p>
        </w:tc>
        <w:tc>
          <w:tcPr>
            <w:tcW w:w="2347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458 096,12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00" w:orient="landscape"/>
          <w:pgMar w:top="1060" w:bottom="0" w:left="680" w:right="68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102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</w:pPr>
      <w:r>
        <w:rPr/>
        <w:t>1/2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720"/>
        <w:jc w:val="center"/>
      </w:pPr>
      <w:r>
        <w:rPr>
          <w:color w:val="6C777E"/>
        </w:rPr>
        <w:t>15.10.2019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680"/>
          <w:cols w:num="2" w:equalWidth="0">
            <w:col w:w="9073" w:space="4154"/>
            <w:col w:w="225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35"/>
        <w:gridCol w:w="2019"/>
        <w:gridCol w:w="3100"/>
        <w:gridCol w:w="3404"/>
        <w:gridCol w:w="2682"/>
        <w:gridCol w:w="2347"/>
      </w:tblGrid>
      <w:tr>
        <w:trPr>
          <w:trHeight w:val="248" w:hRule="exact"/>
        </w:trPr>
        <w:tc>
          <w:tcPr>
            <w:tcW w:w="773" w:type="dxa"/>
          </w:tcPr>
          <w:p>
            <w:pPr>
              <w:pStyle w:val="TableParagraph"/>
              <w:spacing w:line="18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935" w:type="dxa"/>
          </w:tcPr>
          <w:p>
            <w:pPr>
              <w:pStyle w:val="TableParagraph"/>
              <w:spacing w:line="181" w:lineRule="exact" w:before="0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2019" w:type="dxa"/>
          </w:tcPr>
          <w:p>
            <w:pPr>
              <w:pStyle w:val="TableParagraph"/>
              <w:spacing w:line="181" w:lineRule="exact" w:before="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100" w:type="dxa"/>
          </w:tcPr>
          <w:p>
            <w:pPr>
              <w:pStyle w:val="TableParagraph"/>
              <w:spacing w:line="181" w:lineRule="exact" w:before="0"/>
              <w:ind w:right="759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404" w:type="dxa"/>
          </w:tcPr>
          <w:p>
            <w:pPr>
              <w:pStyle w:val="TableParagraph"/>
              <w:spacing w:line="181" w:lineRule="exact" w:before="0"/>
              <w:ind w:right="1114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2682" w:type="dxa"/>
          </w:tcPr>
          <w:p>
            <w:pPr>
              <w:pStyle w:val="TableParagraph"/>
              <w:spacing w:line="181" w:lineRule="exact" w:before="0"/>
              <w:ind w:right="749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6" w:hRule="exact"/>
        </w:trPr>
        <w:tc>
          <w:tcPr>
            <w:tcW w:w="773" w:type="dxa"/>
          </w:tcPr>
          <w:p>
            <w:pPr>
              <w:pStyle w:val="TableParagraph"/>
              <w:spacing w:before="37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35" w:type="dxa"/>
          </w:tcPr>
          <w:p>
            <w:pPr>
              <w:pStyle w:val="TableParagraph"/>
              <w:spacing w:before="37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9" w:type="dxa"/>
          </w:tcPr>
          <w:p>
            <w:pPr>
              <w:pStyle w:val="TableParagraph"/>
              <w:spacing w:before="37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spacing w:before="37"/>
              <w:ind w:right="779"/>
              <w:rPr>
                <w:sz w:val="18"/>
              </w:rPr>
            </w:pPr>
            <w:r>
              <w:rPr>
                <w:sz w:val="18"/>
              </w:rPr>
              <w:t>12 421 441,41</w:t>
            </w:r>
          </w:p>
        </w:tc>
        <w:tc>
          <w:tcPr>
            <w:tcW w:w="3404" w:type="dxa"/>
          </w:tcPr>
          <w:p>
            <w:pPr>
              <w:pStyle w:val="TableParagraph"/>
              <w:spacing w:before="37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spacing w:before="37"/>
              <w:ind w:right="769"/>
              <w:rPr>
                <w:sz w:val="18"/>
              </w:rPr>
            </w:pPr>
            <w:r>
              <w:rPr>
                <w:sz w:val="18"/>
              </w:rPr>
              <w:t>13 974,12</w:t>
            </w:r>
          </w:p>
        </w:tc>
        <w:tc>
          <w:tcPr>
            <w:tcW w:w="2347" w:type="dxa"/>
          </w:tcPr>
          <w:p>
            <w:pPr>
              <w:pStyle w:val="TableParagraph"/>
              <w:spacing w:before="37"/>
              <w:ind w:right="68"/>
              <w:rPr>
                <w:sz w:val="18"/>
              </w:rPr>
            </w:pPr>
            <w:r>
              <w:rPr>
                <w:sz w:val="18"/>
              </w:rPr>
              <w:t>457 597,04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11 977 818,49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13 475,05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457 097,97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11 534 195,57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12 975,97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456 598,89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11 090 572,65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12 476,89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456 099,81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10 646 949,73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11 977,82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455 600,74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10 203 326,81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11 478,74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455 101,66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9 759 703,89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10 979,67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454 602,59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9 316 080,97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10 480,59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454 103,51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8 872 458,05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9 981,52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453 604,44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8 428 835,13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9 482,44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453 105,36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7 985 212,21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8 983,36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452 606,28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7 541 589,29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8 484,29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452 107,21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7 097 966,37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7 985,21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451 608,13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6 654 343,45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7 486,14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451 109,06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6 210 720,53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6 987,06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450 609,98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5 767 097,61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6 487,98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450 110,90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5 323 474,69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5 988,91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449 611,83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4 879 851,77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5 489,83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449 112,75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4 436 228,85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4 990,76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448 613,68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3 992 605,93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4 491,68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448 114,60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3 548 983,01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3 992,61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447 615,53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3 105 360,09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3 493,53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447 116,45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2 661 737,17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2 994,45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446 617,37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2 218 114,25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2 495,38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446 118,30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1 774 491,33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1 996,30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445 619,22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1 330 868,41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1 497,23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445 120,15</w:t>
            </w:r>
          </w:p>
        </w:tc>
      </w:tr>
      <w:tr>
        <w:trPr>
          <w:trHeight w:val="336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887 245,49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443 622,92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998,15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444 621,07</w:t>
            </w:r>
          </w:p>
        </w:tc>
      </w:tr>
      <w:tr>
        <w:trPr>
          <w:trHeight w:val="258" w:hRule="exact"/>
        </w:trPr>
        <w:tc>
          <w:tcPr>
            <w:tcW w:w="773" w:type="dxa"/>
          </w:tcPr>
          <w:p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5" w:type="dxa"/>
          </w:tcPr>
          <w:p>
            <w:pPr>
              <w:pStyle w:val="TableParagraph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2019" w:type="dxa"/>
          </w:tcPr>
          <w:p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100" w:type="dxa"/>
          </w:tcPr>
          <w:p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443 622,57</w:t>
            </w:r>
          </w:p>
        </w:tc>
        <w:tc>
          <w:tcPr>
            <w:tcW w:w="3404" w:type="dxa"/>
          </w:tcPr>
          <w:p>
            <w:pPr>
              <w:pStyle w:val="TableParagraph"/>
              <w:ind w:right="1134"/>
              <w:rPr>
                <w:sz w:val="18"/>
              </w:rPr>
            </w:pPr>
            <w:r>
              <w:rPr>
                <w:sz w:val="18"/>
              </w:rPr>
              <w:t>443 622,57</w:t>
            </w:r>
          </w:p>
        </w:tc>
        <w:tc>
          <w:tcPr>
            <w:tcW w:w="2682" w:type="dxa"/>
          </w:tcPr>
          <w:p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499,08</w:t>
            </w:r>
          </w:p>
        </w:tc>
        <w:tc>
          <w:tcPr>
            <w:tcW w:w="2347" w:type="dxa"/>
          </w:tcPr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444 121,65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6840" w:h="11900" w:orient="landscape"/>
          <w:pgMar w:top="720" w:bottom="0" w:left="680" w:right="68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102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</w:pPr>
      <w:r>
        <w:rPr/>
        <w:t>2/2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720"/>
        <w:jc w:val="center"/>
      </w:pPr>
      <w:r>
        <w:rPr>
          <w:color w:val="6C777E"/>
        </w:rPr>
        <w:t>15.10.2019</w:t>
      </w:r>
    </w:p>
    <w:sectPr>
      <w:type w:val="continuous"/>
      <w:pgSz w:w="16840" w:h="11900" w:orient="landscape"/>
      <w:pgMar w:top="1060" w:bottom="0" w:left="680" w:right="680"/>
      <w:cols w:num="2" w:equalWidth="0">
        <w:col w:w="9073" w:space="4154"/>
        <w:col w:w="22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</w:rPr>
  </w:style>
  <w:style w:styleId="Heading1" w:type="paragraph">
    <w:name w:val="Heading 1"/>
    <w:basedOn w:val="Normal"/>
    <w:uiPriority w:val="1"/>
    <w:qFormat/>
    <w:pPr>
      <w:ind w:left="725" w:right="720"/>
      <w:jc w:val="center"/>
      <w:outlineLvl w:val="1"/>
    </w:pPr>
    <w:rPr>
      <w:rFonts w:ascii="JohnSans Text Pro" w:hAnsi="JohnSans Text Pro" w:eastAsia="JohnSans Text Pro" w:cs="JohnSans Text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JohnSans Text Pro" w:hAnsi="JohnSans Text Pro" w:eastAsia="JohnSans Text Pro" w:cs="JohnSans Text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2019-10-30T16:14:57Z</dcterms:created>
  <dcterms:modified xsi:type="dcterms:W3CDTF">2019-10-30T16:14:57Z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2019-10-30T00:00:00Z</vt:filetime>
  </property>
</Properties>
</file>