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9"/>
        </w:rPr>
      </w:pPr>
    </w:p>
    <w:p>
      <w:pPr>
        <w:spacing w:before="79"/>
        <w:ind w:left="241" w:right="0" w:firstLine="0"/>
        <w:jc w:val="left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Změnový požadavek</w:t>
      </w:r>
      <w:r>
        <w:rPr>
          <w:rFonts w:ascii="Times New Roman" w:hAnsi="Times New Roman"/>
          <w:spacing w:val="-65"/>
          <w:sz w:val="48"/>
        </w:rPr>
        <w:t> </w:t>
      </w:r>
      <w:r>
        <w:rPr>
          <w:rFonts w:ascii="Times New Roman" w:hAnsi="Times New Roman"/>
          <w:sz w:val="48"/>
        </w:rPr>
        <w:t>(BR04)</w:t>
      </w:r>
    </w:p>
    <w:p>
      <w:pPr>
        <w:pStyle w:val="BodyText"/>
        <w:spacing w:before="7"/>
        <w:rPr>
          <w:rFonts w:ascii="Times New Roman"/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69.360001pt,13.612929pt" to="525.839995pt,13.612929pt" stroked="true" strokeweight=".720004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BodyText"/>
        <w:ind w:left="136" w:right="135"/>
        <w:jc w:val="both"/>
      </w:pPr>
      <w:r>
        <w:rPr/>
        <w:t>V rámci tohoto balíčku budou zpracovány následující požadavky evidované v systému Bugzilla (číslo bugu je uvedeno vždy v závorce za názvem požadavku), případné detaily či diskuze nad návrhem řešení jsou k nalezení přímo v systému Bugzilla pod odpovídajícím číslem požadavku/bugu: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856" w:val="left" w:leader="none"/>
        </w:tabs>
        <w:spacing w:line="240" w:lineRule="auto" w:before="1" w:after="0"/>
        <w:ind w:left="856" w:right="0" w:hanging="720"/>
        <w:jc w:val="both"/>
      </w:pPr>
      <w:r>
        <w:rPr>
          <w:w w:val="105"/>
        </w:rPr>
        <w:t>Zamčená</w:t>
      </w:r>
      <w:r>
        <w:rPr>
          <w:spacing w:val="-15"/>
          <w:w w:val="105"/>
        </w:rPr>
        <w:t> </w:t>
      </w:r>
      <w:r>
        <w:rPr>
          <w:w w:val="105"/>
        </w:rPr>
        <w:t>výška</w:t>
      </w:r>
      <w:r>
        <w:rPr>
          <w:spacing w:val="-15"/>
          <w:w w:val="105"/>
        </w:rPr>
        <w:t> </w:t>
      </w:r>
      <w:r>
        <w:rPr>
          <w:w w:val="105"/>
        </w:rPr>
        <w:t>bodu</w:t>
      </w:r>
      <w:r>
        <w:rPr>
          <w:spacing w:val="-15"/>
          <w:w w:val="105"/>
        </w:rPr>
        <w:t> </w:t>
      </w:r>
      <w:r>
        <w:rPr>
          <w:w w:val="105"/>
        </w:rPr>
        <w:t>(bug</w:t>
      </w:r>
      <w:r>
        <w:rPr>
          <w:spacing w:val="-16"/>
          <w:w w:val="105"/>
        </w:rPr>
        <w:t> </w:t>
      </w:r>
      <w:r>
        <w:rPr>
          <w:w w:val="105"/>
          <w:sz w:val="20"/>
        </w:rPr>
        <w:t>11003</w:t>
      </w:r>
      <w:r>
        <w:rPr>
          <w:w w:val="105"/>
        </w:rPr>
        <w:t>)</w:t>
      </w:r>
    </w:p>
    <w:p>
      <w:pPr>
        <w:pStyle w:val="BodyText"/>
        <w:spacing w:before="138"/>
        <w:ind w:left="85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30"/>
        <w:ind w:left="855"/>
      </w:pPr>
      <w:r>
        <w:rPr/>
        <w:t>Zadání dle popisu editora:</w:t>
      </w:r>
    </w:p>
    <w:p>
      <w:pPr>
        <w:pStyle w:val="BodyText"/>
        <w:spacing w:before="117"/>
        <w:ind w:left="855" w:right="385"/>
      </w:pPr>
      <w:r>
        <w:rPr/>
        <w:t>Při vytváření bodů výškopisu vyskočí tabulka, že neprochází výškopisem, protože: cca před 10 minutami jsem přidělávala nový bod s výškou; tato výška zůstává stále zamčená a zůstane zamčená, dokud ji neodemknu, tedy i v případě, že pracuji v jiné následující dokumentaci.</w:t>
      </w:r>
    </w:p>
    <w:p>
      <w:pPr>
        <w:pStyle w:val="BodyText"/>
        <w:spacing w:line="357" w:lineRule="auto" w:before="120"/>
        <w:ind w:left="855" w:right="951"/>
      </w:pPr>
      <w:r>
        <w:rPr/>
        <w:t>Musím tedy dát teď zrušit, body výškopisu nasázet znovu a před uložením odemknout výšku. Tento požadavek musí automaticky odemknout pole po takovémto zadání Z souřadnice.</w:t>
      </w:r>
    </w:p>
    <w:p>
      <w:pPr>
        <w:pStyle w:val="BodyText"/>
        <w:rPr>
          <w:sz w:val="30"/>
        </w:rPr>
      </w:pPr>
    </w:p>
    <w:p>
      <w:pPr>
        <w:pStyle w:val="BodyText"/>
        <w:ind w:left="85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30"/>
        <w:ind w:left="855" w:right="136"/>
      </w:pPr>
      <w:r>
        <w:rPr/>
        <w:t>Do editačního pluginu GMSC bude doplněna nová funkcionalita pro odemčení zámečku v dialogu pro zadávání souřadnic nového prvku. Uživateli se tak při otevření editačního módu (při vytváření nového bodu) automaticky odemknou všechny zámečky u políček se souřadnicemi (bez ohledu na to, zda je při předchozí editaci měl zamčené či nikoliv).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136" w:firstLine="0"/>
        <w:jc w:val="both"/>
      </w:pPr>
      <w:r>
        <w:rPr/>
        <w:t>         Symbol 306704 (bug 11075)</w:t>
      </w:r>
    </w:p>
    <w:p>
      <w:pPr>
        <w:pStyle w:val="BodyText"/>
        <w:spacing w:before="137"/>
        <w:ind w:left="85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28"/>
        <w:ind w:left="855"/>
      </w:pPr>
      <w:r>
        <w:rPr/>
        <w:t>Doplnit do legendy + symbol pro bodovou značku na síti: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  <w:tab w:pos="1564" w:val="left" w:leader="none"/>
        </w:tabs>
        <w:spacing w:line="240" w:lineRule="auto" w:before="130" w:after="0"/>
        <w:ind w:left="1564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306704, plynovod - J_PK_PKZKO - zařízení PKO (V číselníku CIS_TMTYPPRVKU je</w:t>
      </w:r>
      <w:r>
        <w:rPr>
          <w:rFonts w:ascii="Calibri" w:hAnsi="Calibri"/>
          <w:spacing w:val="-26"/>
          <w:sz w:val="20"/>
        </w:rPr>
        <w:t> </w:t>
      </w:r>
      <w:r>
        <w:rPr>
          <w:rFonts w:ascii="Calibri" w:hAnsi="Calibri"/>
          <w:sz w:val="20"/>
        </w:rPr>
        <w:t>správně)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  <w:tab w:pos="1564" w:val="left" w:leader="none"/>
        </w:tabs>
        <w:spacing w:line="240" w:lineRule="auto" w:before="10" w:after="0"/>
        <w:ind w:left="1564" w:right="0" w:hanging="36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306705, plynovod - J_PK_PKRFEL - referenční elektroda</w:t>
      </w:r>
      <w:r>
        <w:rPr>
          <w:rFonts w:ascii="Calibri" w:hAnsi="Calibri"/>
          <w:spacing w:val="-14"/>
          <w:sz w:val="20"/>
        </w:rPr>
        <w:t> </w:t>
      </w:r>
      <w:r>
        <w:rPr>
          <w:rFonts w:ascii="Calibri" w:hAnsi="Calibri"/>
          <w:sz w:val="20"/>
        </w:rPr>
        <w:t>PKO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85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30"/>
        <w:ind w:left="841" w:right="291"/>
      </w:pPr>
      <w:r>
        <w:rPr/>
        <w:t>Legenda a symboly budou nastaveny v prostředí GMSC (pro TMISZNAK_B a TMISZNAK_B - editor) dle zadání pro všechna prostředí.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56" w:val="left" w:leader="none"/>
        </w:tabs>
        <w:spacing w:line="240" w:lineRule="auto" w:before="1" w:after="0"/>
        <w:ind w:left="856" w:right="0" w:hanging="720"/>
        <w:jc w:val="both"/>
      </w:pPr>
      <w:r>
        <w:rPr/>
        <w:t>ADS</w:t>
      </w:r>
      <w:r>
        <w:rPr>
          <w:spacing w:val="-11"/>
        </w:rPr>
        <w:t> </w:t>
      </w:r>
      <w:r>
        <w:rPr/>
        <w:t>-</w:t>
      </w:r>
      <w:r>
        <w:rPr>
          <w:spacing w:val="-8"/>
        </w:rPr>
        <w:t> </w:t>
      </w:r>
      <w:r>
        <w:rPr/>
        <w:t>PT</w:t>
      </w:r>
      <w:r>
        <w:rPr>
          <w:spacing w:val="-11"/>
        </w:rPr>
        <w:t> </w:t>
      </w:r>
      <w:r>
        <w:rPr/>
        <w:t>(11)</w:t>
      </w:r>
      <w:r>
        <w:rPr>
          <w:spacing w:val="-14"/>
        </w:rPr>
        <w:t> </w:t>
      </w:r>
      <w:r>
        <w:rPr/>
        <w:t>nová</w:t>
      </w:r>
      <w:r>
        <w:rPr>
          <w:spacing w:val="-13"/>
        </w:rPr>
        <w:t> </w:t>
      </w:r>
      <w:r>
        <w:rPr/>
        <w:t>data/klíč</w:t>
      </w:r>
      <w:r>
        <w:rPr>
          <w:spacing w:val="-8"/>
        </w:rPr>
        <w:t> </w:t>
      </w:r>
      <w:r>
        <w:rPr/>
        <w:t>(bug</w:t>
      </w:r>
      <w:r>
        <w:rPr>
          <w:spacing w:val="-10"/>
        </w:rPr>
        <w:t> </w:t>
      </w:r>
      <w:r>
        <w:rPr/>
        <w:t>11159)</w:t>
      </w:r>
    </w:p>
    <w:p>
      <w:pPr>
        <w:pStyle w:val="BodyText"/>
        <w:spacing w:before="138"/>
        <w:ind w:left="85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31"/>
        <w:ind w:left="855"/>
      </w:pPr>
      <w:r>
        <w:rPr/>
        <w:t>U správce „11 Pražská teplárenská“ se měnila zdrojová data. Nová gdb místo shp a upravený klíč jsou v</w:t>
      </w:r>
    </w:p>
    <w:p>
      <w:pPr>
        <w:pStyle w:val="BodyText"/>
        <w:ind w:left="855"/>
      </w:pPr>
      <w:r>
        <w:rPr/>
        <w:t>\\eltm-fme.ipr.praha.eu\ADS\Prazska_Teplarenska\Import_ADS.</w:t>
      </w:r>
    </w:p>
    <w:p>
      <w:pPr>
        <w:pStyle w:val="BodyText"/>
        <w:spacing w:before="117"/>
        <w:ind w:left="855" w:right="1850"/>
      </w:pPr>
      <w:r>
        <w:rPr/>
        <w:t>Prosím o změnu v FME a u vrstev TPS_v_provozu_TPS _Šachta a TPS_v_záloze_TPS    _Šachta_v_záloze prosím o převod z polygonů na linie.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722" w:top="1220" w:bottom="280" w:left="1280" w:right="128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91"/>
        <w:ind w:left="8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28"/>
        <w:ind w:left="835" w:right="134"/>
      </w:pPr>
      <w:r>
        <w:rPr/>
        <w:t>FME proces pro načítání dat konkrétního správce bude upraven tak, aby načítal nové data dle zadání. Po otestování bude nasazeno na všechna prostředí.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0" w:hanging="720"/>
        <w:jc w:val="left"/>
        <w:rPr>
          <w:sz w:val="20"/>
        </w:rPr>
      </w:pPr>
      <w:r>
        <w:rPr>
          <w:w w:val="95"/>
        </w:rPr>
        <w:t>KODCHB_KOD - přečíslování  (bug</w:t>
      </w:r>
      <w:r>
        <w:rPr>
          <w:spacing w:val="-19"/>
          <w:w w:val="95"/>
        </w:rPr>
        <w:t> </w:t>
      </w:r>
      <w:r>
        <w:rPr>
          <w:w w:val="95"/>
        </w:rPr>
        <w:t>11164)</w:t>
      </w:r>
    </w:p>
    <w:p>
      <w:pPr>
        <w:pStyle w:val="BodyText"/>
        <w:spacing w:before="137"/>
        <w:ind w:left="83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30"/>
        <w:ind w:left="824" w:right="601"/>
      </w:pPr>
      <w:r>
        <w:rPr/>
        <w:t>Prosíme u třídy podrobných bodů TMPODROBNYBOD_B přegenerovat hodnoty u atributu KODCHB_KOD v závislosti na PUVOD/KODCHB_KOD dle následující tabulky (tabulka je přiložena v bugzille).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8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28"/>
        <w:ind w:left="835" w:right="93"/>
      </w:pPr>
      <w:r>
        <w:rPr/>
        <w:t>Po technické diskuzi IPR, kde byla provedena analýza ohledně atributu KODCHB_KOD, bude proveden pouze SQL UPDATE nad třídou TMPODROBNYBOD_B dle přiložené tabulky (viz zadání).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0" w:hanging="720"/>
        <w:jc w:val="left"/>
      </w:pPr>
      <w:r>
        <w:rPr/>
        <w:t>3D okno - kompas (bug</w:t>
      </w:r>
      <w:r>
        <w:rPr>
          <w:spacing w:val="7"/>
        </w:rPr>
        <w:t> </w:t>
      </w:r>
      <w:r>
        <w:rPr/>
        <w:t>11217)</w:t>
      </w:r>
    </w:p>
    <w:p>
      <w:pPr>
        <w:pStyle w:val="BodyText"/>
        <w:spacing w:before="138"/>
        <w:ind w:left="83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29"/>
        <w:ind w:left="824"/>
      </w:pPr>
      <w:r>
        <w:rPr/>
        <w:t>Do 3D okna přidat funkcionalitu usnadňující orientaci - widget kompasu.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8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31"/>
        <w:ind w:left="835" w:right="269"/>
      </w:pPr>
      <w:r>
        <w:rPr/>
        <w:t>Do mapového okna bude přidán grafický prvek kompasu, který bude reagovat dle natočení kamery. Knihovna CesiumJS neobsahuje vestavěnou komponentu kompasu, proto je třeba vlastní implementace.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6" w:right="0" w:hanging="720"/>
        <w:jc w:val="left"/>
      </w:pPr>
      <w:r>
        <w:rPr/>
        <w:t>3D okno - zvýraznění vybraných prvků (bug</w:t>
      </w:r>
      <w:r>
        <w:rPr>
          <w:spacing w:val="-12"/>
        </w:rPr>
        <w:t> </w:t>
      </w:r>
      <w:r>
        <w:rPr/>
        <w:t>11218)</w:t>
      </w:r>
    </w:p>
    <w:p>
      <w:pPr>
        <w:pStyle w:val="BodyText"/>
        <w:spacing w:before="137"/>
        <w:ind w:left="83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28"/>
        <w:ind w:left="824" w:right="313"/>
      </w:pPr>
      <w:r>
        <w:rPr/>
        <w:t>Při výběru linie ji označit (růžově). Pokud jde linie do oblouku a vybere se, tak výběrový čtverec (růžový) je umístěn v těžišti, což je úplně jinde než linie. Požadavek je, že v takovém případě se celá linie rozsvítí stejnou barvou (růžovou), aby bylo zřejmé, že byla/je vybrána.</w:t>
      </w:r>
    </w:p>
    <w:p>
      <w:pPr>
        <w:pStyle w:val="BodyText"/>
        <w:ind w:left="2074"/>
      </w:pPr>
      <w:r>
        <w:rPr/>
        <w:drawing>
          <wp:inline distT="0" distB="0" distL="0" distR="0">
            <wp:extent cx="3706368" cy="22524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368" cy="225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6"/>
        <w:ind w:left="8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28"/>
        <w:ind w:left="824" w:right="131" w:firstLine="12"/>
      </w:pPr>
      <w:r>
        <w:rPr/>
        <w:t>Implementace rozšíří stávající řešení: po výběru linie se výběrový čtverec nadále umístí do těžiště (nelze změnit, jedná se o vlastnost knihovny CesiumJS) a zároveň se programově vysvítí vybraná linie.</w:t>
      </w:r>
    </w:p>
    <w:p>
      <w:pPr>
        <w:spacing w:after="0"/>
        <w:sectPr>
          <w:pgSz w:w="11910" w:h="16840"/>
          <w:pgMar w:header="722" w:footer="0" w:top="1220" w:bottom="280" w:left="1300" w:right="14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90" w:after="0"/>
        <w:ind w:left="836" w:right="0" w:hanging="720"/>
        <w:jc w:val="left"/>
      </w:pPr>
      <w:r>
        <w:rPr/>
        <w:t>3D okno - Roztažení výšek (bug</w:t>
      </w:r>
      <w:r>
        <w:rPr>
          <w:spacing w:val="-31"/>
        </w:rPr>
        <w:t> </w:t>
      </w:r>
      <w:r>
        <w:rPr/>
        <w:t>11219)</w:t>
      </w:r>
    </w:p>
    <w:p>
      <w:pPr>
        <w:pStyle w:val="BodyText"/>
        <w:spacing w:before="137"/>
        <w:ind w:left="835"/>
        <w:rPr>
          <w:rFonts w:ascii="Times New Roman" w:hAnsi="Times New Roman"/>
        </w:rPr>
      </w:pPr>
      <w:r>
        <w:rPr>
          <w:rFonts w:ascii="Times New Roman" w:hAnsi="Times New Roman"/>
        </w:rPr>
        <w:t>Požadavek:</w:t>
      </w:r>
    </w:p>
    <w:p>
      <w:pPr>
        <w:pStyle w:val="BodyText"/>
        <w:spacing w:before="128"/>
        <w:ind w:left="824" w:right="155"/>
      </w:pPr>
      <w:r>
        <w:rPr/>
        <w:t>Přidání posuvníku/jezdce, který by uměle navyšoval/nafukoval výšku pro lepší orientaci, pak by se při tažení posuvníku mapa modifikovala.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8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Návrh řešení:</w:t>
      </w:r>
    </w:p>
    <w:p>
      <w:pPr>
        <w:pStyle w:val="BodyText"/>
        <w:spacing w:before="128"/>
        <w:ind w:left="821" w:right="431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1379219</wp:posOffset>
            </wp:positionH>
            <wp:positionV relativeFrom="paragraph">
              <wp:posOffset>468902</wp:posOffset>
            </wp:positionV>
            <wp:extent cx="3023214" cy="27622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214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Bude přidán nový ovládací prvek – posuvník (ilustrativní obrázek, implementovaný posuvník bude graficky zasazen do stávajícího řešení):</w:t>
      </w:r>
    </w:p>
    <w:p>
      <w:pPr>
        <w:pStyle w:val="BodyText"/>
        <w:spacing w:before="104"/>
        <w:ind w:left="824" w:right="239"/>
      </w:pPr>
      <w:r>
        <w:rPr/>
        <w:t>Při pohybu posuvníkem vpravo se budou násobit výšky mapových prvků předem definovanou konstantou (bude definována v konfiguračním souboru), tím dojde k roztažení mapových prvků na Z souřadnici.</w:t>
      </w:r>
    </w:p>
    <w:p>
      <w:pPr>
        <w:pStyle w:val="BodyText"/>
        <w:spacing w:before="118"/>
        <w:ind w:left="824" w:right="98"/>
      </w:pPr>
      <w:r>
        <w:rPr/>
        <w:t>Jelikož se musí projít všechny grafické prvky v mapě, upravit jejich výška a následně překreslit, tak zde očekáváme vyšší dobu odezvy a určité zpomalení aplikace (pouze po dobu výpočtu / překreslení).</w:t>
      </w:r>
    </w:p>
    <w:p>
      <w:pPr>
        <w:spacing w:after="0"/>
        <w:sectPr>
          <w:pgSz w:w="11910" w:h="16840"/>
          <w:pgMar w:header="722" w:footer="0" w:top="1220" w:bottom="280" w:left="1300" w:right="142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0" w:lineRule="exact"/>
        <w:ind w:left="99"/>
        <w:rPr>
          <w:sz w:val="2"/>
        </w:rPr>
      </w:pPr>
      <w:r>
        <w:rPr>
          <w:sz w:val="2"/>
        </w:rPr>
        <w:pict>
          <v:group style="width:457.25pt;height:.75pt;mso-position-horizontal-relative:char;mso-position-vertical-relative:line" coordorigin="0,0" coordsize="9145,15">
            <v:line style="position:absolute" from="8,8" to="9137,8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9"/>
        <w:ind w:left="136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Detailní kalkulace</w:t>
      </w:r>
      <w:r>
        <w:rPr>
          <w:rFonts w:ascii="Times New Roman" w:hAnsi="Times New Roman"/>
          <w:spacing w:val="54"/>
          <w:sz w:val="30"/>
        </w:rPr>
        <w:t> </w:t>
      </w:r>
      <w:r>
        <w:rPr>
          <w:rFonts w:ascii="Times New Roman" w:hAnsi="Times New Roman"/>
          <w:sz w:val="30"/>
        </w:rPr>
        <w:t>požadavku: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6055"/>
        <w:gridCol w:w="914"/>
        <w:gridCol w:w="1394"/>
      </w:tblGrid>
      <w:tr>
        <w:trPr>
          <w:trHeight w:val="744" w:hRule="exact"/>
        </w:trPr>
        <w:tc>
          <w:tcPr>
            <w:tcW w:w="703" w:type="dxa"/>
          </w:tcPr>
          <w:p>
            <w:pPr/>
          </w:p>
        </w:tc>
        <w:tc>
          <w:tcPr>
            <w:tcW w:w="6055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Změnový požadavek</w:t>
            </w:r>
          </w:p>
        </w:tc>
        <w:tc>
          <w:tcPr>
            <w:tcW w:w="914" w:type="dxa"/>
          </w:tcPr>
          <w:p>
            <w:pPr>
              <w:pStyle w:val="TableParagraph"/>
              <w:spacing w:line="254" w:lineRule="auto" w:before="5"/>
              <w:ind w:right="59" w:hanging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Odhad pracnosti (MD)</w:t>
            </w:r>
          </w:p>
        </w:tc>
        <w:tc>
          <w:tcPr>
            <w:tcW w:w="1394" w:type="dxa"/>
          </w:tcPr>
          <w:p>
            <w:pPr>
              <w:pStyle w:val="TableParagraph"/>
              <w:spacing w:before="5"/>
              <w:ind w:left="144" w:right="14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</w:p>
        </w:tc>
      </w:tr>
      <w:tr>
        <w:trPr>
          <w:trHeight w:val="413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Zamčená výška bodu</w:t>
            </w:r>
          </w:p>
        </w:tc>
        <w:tc>
          <w:tcPr>
            <w:tcW w:w="914" w:type="dxa"/>
          </w:tcPr>
          <w:p>
            <w:pPr>
              <w:pStyle w:val="TableParagraph"/>
              <w:ind w:left="255" w:right="25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5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Symbol 306704</w:t>
            </w:r>
          </w:p>
        </w:tc>
        <w:tc>
          <w:tcPr>
            <w:tcW w:w="914" w:type="dxa"/>
          </w:tcPr>
          <w:p>
            <w:pPr>
              <w:pStyle w:val="TableParagraph"/>
              <w:ind w:left="255" w:right="254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3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ADS - PT (11) nová data/klíč</w:t>
            </w:r>
          </w:p>
        </w:tc>
        <w:tc>
          <w:tcPr>
            <w:tcW w:w="914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5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KODCHB_KOD - přečíslování</w:t>
            </w:r>
          </w:p>
        </w:tc>
        <w:tc>
          <w:tcPr>
            <w:tcW w:w="914" w:type="dxa"/>
          </w:tcPr>
          <w:p>
            <w:pPr>
              <w:pStyle w:val="TableParagraph"/>
              <w:ind w:left="254" w:right="25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3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3D okno - kompas</w:t>
            </w:r>
          </w:p>
        </w:tc>
        <w:tc>
          <w:tcPr>
            <w:tcW w:w="914" w:type="dxa"/>
          </w:tcPr>
          <w:p>
            <w:pPr>
              <w:pStyle w:val="TableParagraph"/>
              <w:ind w:left="255" w:right="255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5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3D okno - zvýraznění vybraných prvků</w:t>
            </w:r>
          </w:p>
        </w:tc>
        <w:tc>
          <w:tcPr>
            <w:tcW w:w="914" w:type="dxa"/>
          </w:tcPr>
          <w:p>
            <w:pPr>
              <w:pStyle w:val="TableParagraph"/>
              <w:ind w:left="255" w:right="255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3" w:hRule="exact"/>
        </w:trPr>
        <w:tc>
          <w:tcPr>
            <w:tcW w:w="70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BR04</w:t>
            </w:r>
          </w:p>
        </w:tc>
        <w:tc>
          <w:tcPr>
            <w:tcW w:w="6055" w:type="dxa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3D okno - Roztažení výšek</w:t>
            </w:r>
          </w:p>
        </w:tc>
        <w:tc>
          <w:tcPr>
            <w:tcW w:w="914" w:type="dxa"/>
          </w:tcPr>
          <w:p>
            <w:pPr>
              <w:pStyle w:val="TableParagraph"/>
              <w:ind w:left="255" w:right="255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94" w:type="dxa"/>
          </w:tcPr>
          <w:p>
            <w:pPr/>
          </w:p>
        </w:tc>
      </w:tr>
      <w:tr>
        <w:trPr>
          <w:trHeight w:val="415" w:hRule="exact"/>
        </w:trPr>
        <w:tc>
          <w:tcPr>
            <w:tcW w:w="703" w:type="dxa"/>
          </w:tcPr>
          <w:p>
            <w:pPr>
              <w:pStyle w:val="TableParagraph"/>
              <w:spacing w:before="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Suma</w:t>
            </w:r>
          </w:p>
        </w:tc>
        <w:tc>
          <w:tcPr>
            <w:tcW w:w="6055" w:type="dxa"/>
          </w:tcPr>
          <w:p>
            <w:pPr/>
          </w:p>
        </w:tc>
        <w:tc>
          <w:tcPr>
            <w:tcW w:w="914" w:type="dxa"/>
          </w:tcPr>
          <w:p>
            <w:pPr>
              <w:pStyle w:val="TableParagraph"/>
              <w:spacing w:before="84"/>
              <w:ind w:left="255" w:right="2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8,6</w:t>
            </w:r>
          </w:p>
        </w:tc>
        <w:tc>
          <w:tcPr>
            <w:tcW w:w="1394" w:type="dxa"/>
          </w:tcPr>
          <w:p>
            <w:pPr>
              <w:pStyle w:val="TableParagraph"/>
              <w:spacing w:before="87"/>
              <w:ind w:left="144" w:righ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18"/>
              </w:rPr>
              <w:t>01</w:t>
            </w:r>
            <w:r>
              <w:rPr>
                <w:rFonts w:ascii="Times New Roman"/>
                <w:w w:val="110"/>
                <w:sz w:val="20"/>
              </w:rPr>
              <w:t>. </w:t>
            </w:r>
            <w:r>
              <w:rPr>
                <w:rFonts w:ascii="Times New Roman"/>
                <w:w w:val="110"/>
                <w:sz w:val="18"/>
              </w:rPr>
              <w:t>11</w:t>
            </w:r>
            <w:r>
              <w:rPr>
                <w:rFonts w:ascii="Times New Roman"/>
                <w:w w:val="110"/>
                <w:sz w:val="20"/>
              </w:rPr>
              <w:t>. 2019</w:t>
            </w:r>
          </w:p>
        </w:tc>
      </w:tr>
    </w:tbl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BodyText"/>
        <w:spacing w:before="87"/>
        <w:ind w:left="136"/>
      </w:pPr>
      <w:r>
        <w:rPr/>
        <w:t>Cena za MD (man-day) je stanovena smlouvou na 7.740,- Kč bez DPH.</w:t>
      </w:r>
    </w:p>
    <w:p>
      <w:pPr>
        <w:pStyle w:val="BodyText"/>
        <w:spacing w:before="4"/>
      </w:pPr>
    </w:p>
    <w:p>
      <w:pPr>
        <w:pStyle w:val="BodyText"/>
        <w:ind w:left="136"/>
        <w:rPr>
          <w:rFonts w:ascii="Times New Roman" w:hAnsi="Times New Roman"/>
        </w:rPr>
      </w:pPr>
      <w:r>
        <w:rPr>
          <w:rFonts w:ascii="Times New Roman" w:hAnsi="Times New Roman"/>
        </w:rPr>
        <w:t>Celková cena za změnový požadavek činí 66.564,- Kč bez DPH.</w:t>
      </w:r>
    </w:p>
    <w:sectPr>
      <w:pgSz w:w="11910" w:h="16840"/>
      <w:pgMar w:header="722" w:footer="0" w:top="12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35.124176pt;width:238.65pt;height:27.2pt;mso-position-horizontal-relative:page;mso-position-vertical-relative:page;z-index:-6544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20"/>
                </w:pPr>
                <w:r>
                  <w:rPr/>
                  <w:t>VU 18-0150 – Smlouva o dílo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/>
                  <w:t>Podpora a rozvoj editační linky technické mapy 2018-2023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564" w:hanging="360"/>
      </w:pPr>
      <w:rPr>
        <w:rFonts w:hint="default" w:ascii="Times New Roman" w:hAnsi="Times New Roman" w:eastAsia="Times New Roman" w:cs="Times New Roman"/>
        <w:w w:val="75"/>
        <w:sz w:val="20"/>
        <w:szCs w:val="20"/>
      </w:rPr>
    </w:lvl>
    <w:lvl w:ilvl="1">
      <w:start w:val="0"/>
      <w:numFmt w:val="bullet"/>
      <w:lvlText w:val="•"/>
      <w:lvlJc w:val="left"/>
      <w:pPr>
        <w:ind w:left="23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56" w:hanging="720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170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7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1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9" w:hanging="7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836" w:hanging="720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36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80"/>
      <w:ind w:left="67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Microsoft Word - ELTM-rozvoj-BR04</dc:title>
  <dcterms:created xsi:type="dcterms:W3CDTF">2019-10-29T09:48:22Z</dcterms:created>
  <dcterms:modified xsi:type="dcterms:W3CDTF">2019-10-29T09:48:22Z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2019-10-29T00:00:00Z</vt:filetime>
  </property>
</Properties>
</file>