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44" w:rsidRDefault="006E43A9">
      <w:pPr>
        <w:pStyle w:val="Zkladntext1"/>
        <w:shd w:val="clear" w:color="auto" w:fill="auto"/>
        <w:spacing w:after="660" w:line="286" w:lineRule="auto"/>
        <w:jc w:val="center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DODATEK č. 1</w:t>
      </w:r>
      <w:r>
        <w:rPr>
          <w:b/>
          <w:bCs/>
          <w:i w:val="0"/>
          <w:iCs w:val="0"/>
          <w:sz w:val="24"/>
          <w:szCs w:val="24"/>
        </w:rPr>
        <w:br/>
        <w:t>ke Smlouvě ě. j. NG/2105/2018</w:t>
      </w:r>
      <w:r>
        <w:rPr>
          <w:b/>
          <w:bCs/>
          <w:i w:val="0"/>
          <w:iCs w:val="0"/>
          <w:sz w:val="24"/>
          <w:szCs w:val="24"/>
        </w:rPr>
        <w:br/>
        <w:t xml:space="preserve">uzavřené dne </w:t>
      </w:r>
      <w:proofErr w:type="gramStart"/>
      <w:r>
        <w:rPr>
          <w:b/>
          <w:bCs/>
          <w:i w:val="0"/>
          <w:iCs w:val="0"/>
          <w:sz w:val="24"/>
          <w:szCs w:val="24"/>
        </w:rPr>
        <w:t>07.11. 2018</w:t>
      </w:r>
      <w:proofErr w:type="gramEnd"/>
    </w:p>
    <w:p w:rsidR="009E1744" w:rsidRDefault="006E43A9">
      <w:pPr>
        <w:pStyle w:val="Zkladntext1"/>
        <w:shd w:val="clear" w:color="auto" w:fill="auto"/>
        <w:spacing w:after="300" w:line="240" w:lineRule="auto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Smluvní strany</w:t>
      </w:r>
    </w:p>
    <w:p w:rsidR="009E1744" w:rsidRDefault="006E43A9">
      <w:pPr>
        <w:pStyle w:val="Titulektabulky0"/>
        <w:shd w:val="clear" w:color="auto" w:fill="auto"/>
      </w:pPr>
      <w:r>
        <w:t>Zadavatel: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7"/>
        <w:gridCol w:w="4946"/>
      </w:tblGrid>
      <w:tr w:rsidR="009E174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527" w:type="dxa"/>
            <w:shd w:val="clear" w:color="auto" w:fill="FFFFFF"/>
          </w:tcPr>
          <w:p w:rsidR="00184A77" w:rsidRDefault="006E43A9">
            <w:pPr>
              <w:pStyle w:val="Jin0"/>
              <w:shd w:val="clear" w:color="auto" w:fill="auto"/>
              <w:spacing w:after="0" w:line="24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b/>
                <w:bCs/>
                <w:i w:val="0"/>
                <w:iCs w:val="0"/>
                <w:sz w:val="22"/>
                <w:szCs w:val="22"/>
              </w:rPr>
              <w:t xml:space="preserve">Národní galerie v Praze </w:t>
            </w:r>
          </w:p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se sídlem: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Staroměstské nám. 12, 110 00 Praha 1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527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zastoupena:</w:t>
            </w:r>
          </w:p>
        </w:tc>
        <w:tc>
          <w:tcPr>
            <w:tcW w:w="4946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Ing. Alena Anne-Marie Nedoma, generální ředitelka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IČ:</w:t>
            </w:r>
          </w:p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DIČ:</w:t>
            </w:r>
          </w:p>
        </w:tc>
        <w:tc>
          <w:tcPr>
            <w:tcW w:w="4946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00023281</w:t>
            </w:r>
          </w:p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CZ00023281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bankovní spojení:</w:t>
            </w:r>
          </w:p>
        </w:tc>
        <w:tc>
          <w:tcPr>
            <w:tcW w:w="4946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Česká národní banka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číslo účtu:</w:t>
            </w:r>
          </w:p>
        </w:tc>
        <w:tc>
          <w:tcPr>
            <w:tcW w:w="4946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050008-0008839011/0710</w:t>
            </w:r>
          </w:p>
        </w:tc>
      </w:tr>
    </w:tbl>
    <w:p w:rsidR="009E1744" w:rsidRDefault="006E43A9">
      <w:pPr>
        <w:pStyle w:val="Titulektabulky0"/>
        <w:shd w:val="clear" w:color="auto" w:fill="auto"/>
      </w:pPr>
      <w:r>
        <w:rPr>
          <w:b w:val="0"/>
          <w:bCs w:val="0"/>
        </w:rPr>
        <w:t xml:space="preserve">dále jen </w:t>
      </w:r>
      <w:r>
        <w:t>„zadavatel“</w:t>
      </w:r>
    </w:p>
    <w:p w:rsidR="009E1744" w:rsidRDefault="009E1744">
      <w:pPr>
        <w:spacing w:after="499" w:line="1" w:lineRule="exact"/>
      </w:pPr>
    </w:p>
    <w:p w:rsidR="009E1744" w:rsidRDefault="006E43A9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Dodavatel:</w:t>
      </w:r>
    </w:p>
    <w:p w:rsidR="009E1744" w:rsidRDefault="006E43A9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MOBA studio s.r.o.</w:t>
      </w:r>
    </w:p>
    <w:p w:rsidR="009E1744" w:rsidRDefault="006E43A9">
      <w:pPr>
        <w:pStyle w:val="Zkladntext1"/>
        <w:shd w:val="clear" w:color="auto" w:fill="auto"/>
        <w:spacing w:after="0" w:line="240" w:lineRule="auto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zapsána v </w:t>
      </w:r>
      <w:r>
        <w:rPr>
          <w:i w:val="0"/>
          <w:iCs w:val="0"/>
          <w:sz w:val="22"/>
          <w:szCs w:val="22"/>
          <w:lang w:val="en-US" w:eastAsia="en-US" w:bidi="en-US"/>
        </w:rPr>
        <w:t xml:space="preserve">OR </w:t>
      </w:r>
      <w:r>
        <w:rPr>
          <w:i w:val="0"/>
          <w:iCs w:val="0"/>
          <w:sz w:val="22"/>
          <w:szCs w:val="22"/>
        </w:rPr>
        <w:t>vedeném Městským soudem v Praze, oddíl C, vložka 28202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7"/>
        <w:gridCol w:w="4943"/>
      </w:tblGrid>
      <w:tr w:rsidR="009E174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se sídlem:</w:t>
            </w:r>
          </w:p>
        </w:tc>
        <w:tc>
          <w:tcPr>
            <w:tcW w:w="4943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Turkmenská 1420/2, 101 00 Praha 10, </w:t>
            </w:r>
            <w:r>
              <w:rPr>
                <w:i w:val="0"/>
                <w:iCs w:val="0"/>
                <w:sz w:val="22"/>
                <w:szCs w:val="22"/>
              </w:rPr>
              <w:t>Vršovice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527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zastoupena: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Ing. arch. Igorem </w:t>
            </w:r>
            <w:proofErr w:type="spellStart"/>
            <w:r>
              <w:rPr>
                <w:i w:val="0"/>
                <w:iCs w:val="0"/>
                <w:sz w:val="22"/>
                <w:szCs w:val="22"/>
              </w:rPr>
              <w:t>Kovačevicem</w:t>
            </w:r>
            <w:proofErr w:type="spellEnd"/>
            <w:r>
              <w:rPr>
                <w:i w:val="0"/>
                <w:iCs w:val="0"/>
                <w:sz w:val="22"/>
                <w:szCs w:val="22"/>
              </w:rPr>
              <w:t>, Ph.D., jednatelem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IČO:</w:t>
            </w:r>
          </w:p>
        </w:tc>
        <w:tc>
          <w:tcPr>
            <w:tcW w:w="4943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61459712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527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DIČ:</w:t>
            </w:r>
          </w:p>
        </w:tc>
        <w:tc>
          <w:tcPr>
            <w:tcW w:w="4943" w:type="dxa"/>
            <w:shd w:val="clear" w:color="auto" w:fill="FFFFFF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CZ61459712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527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bankovní spojení: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9E1744" w:rsidRDefault="006E43A9" w:rsidP="00184A77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proofErr w:type="spellStart"/>
            <w:r>
              <w:rPr>
                <w:i w:val="0"/>
                <w:iCs w:val="0"/>
                <w:sz w:val="22"/>
                <w:szCs w:val="22"/>
              </w:rPr>
              <w:t>Fio</w:t>
            </w:r>
            <w:proofErr w:type="spellEnd"/>
            <w:r>
              <w:rPr>
                <w:i w:val="0"/>
                <w:iCs w:val="0"/>
                <w:sz w:val="22"/>
                <w:szCs w:val="22"/>
              </w:rPr>
              <w:t xml:space="preserve"> banka, a.s</w:t>
            </w:r>
            <w:r w:rsidR="00184A77">
              <w:rPr>
                <w:i w:val="0"/>
                <w:iCs w:val="0"/>
                <w:sz w:val="22"/>
                <w:szCs w:val="22"/>
              </w:rPr>
              <w:t>.</w:t>
            </w:r>
            <w:r>
              <w:rPr>
                <w:i w:val="0"/>
                <w:iCs w:val="0"/>
                <w:sz w:val="22"/>
                <w:szCs w:val="22"/>
              </w:rPr>
              <w:t xml:space="preserve"> V Celnici 1028/10, 117 21 Praha 1</w:t>
            </w:r>
          </w:p>
        </w:tc>
      </w:tr>
      <w:tr w:rsidR="009E1744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527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číslo účtu:</w:t>
            </w:r>
          </w:p>
        </w:tc>
        <w:tc>
          <w:tcPr>
            <w:tcW w:w="4943" w:type="dxa"/>
            <w:shd w:val="clear" w:color="auto" w:fill="FFFFFF"/>
            <w:vAlign w:val="bottom"/>
          </w:tcPr>
          <w:p w:rsidR="009E1744" w:rsidRDefault="006E43A9">
            <w:pPr>
              <w:pStyle w:val="Jin0"/>
              <w:shd w:val="clear" w:color="auto" w:fill="auto"/>
              <w:spacing w:after="0" w:line="240" w:lineRule="auto"/>
              <w:ind w:firstLine="300"/>
              <w:rPr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2300193640/2010</w:t>
            </w:r>
          </w:p>
        </w:tc>
      </w:tr>
    </w:tbl>
    <w:p w:rsidR="009E1744" w:rsidRDefault="006E43A9">
      <w:pPr>
        <w:pStyle w:val="Titulektabulky0"/>
        <w:shd w:val="clear" w:color="auto" w:fill="auto"/>
      </w:pPr>
      <w:r>
        <w:rPr>
          <w:b w:val="0"/>
          <w:bCs w:val="0"/>
        </w:rPr>
        <w:t xml:space="preserve">dále jen </w:t>
      </w:r>
      <w:r>
        <w:t xml:space="preserve">„dodavatel“ </w:t>
      </w:r>
      <w:r>
        <w:rPr>
          <w:b w:val="0"/>
          <w:bCs w:val="0"/>
        </w:rPr>
        <w:t xml:space="preserve">nebo též </w:t>
      </w:r>
      <w:r>
        <w:t>„administrátor“</w:t>
      </w:r>
    </w:p>
    <w:p w:rsidR="009E1744" w:rsidRDefault="009E1744">
      <w:pPr>
        <w:spacing w:after="239" w:line="1" w:lineRule="exact"/>
      </w:pPr>
    </w:p>
    <w:p w:rsidR="009E1744" w:rsidRDefault="006E43A9">
      <w:pPr>
        <w:pStyle w:val="Zkladntext1"/>
        <w:shd w:val="clear" w:color="auto" w:fill="auto"/>
        <w:spacing w:after="740" w:line="240" w:lineRule="auto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dále společně jen </w:t>
      </w:r>
      <w:r>
        <w:rPr>
          <w:b/>
          <w:bCs/>
          <w:i w:val="0"/>
          <w:iCs w:val="0"/>
          <w:sz w:val="22"/>
          <w:szCs w:val="22"/>
        </w:rPr>
        <w:t>„smluvní strany“</w:t>
      </w:r>
    </w:p>
    <w:p w:rsidR="009E1744" w:rsidRDefault="006E43A9">
      <w:pPr>
        <w:pStyle w:val="Zkladntext1"/>
        <w:shd w:val="clear" w:color="auto" w:fill="auto"/>
        <w:spacing w:after="500" w:line="240" w:lineRule="auto"/>
        <w:jc w:val="center"/>
        <w:rPr>
          <w:sz w:val="22"/>
          <w:szCs w:val="22"/>
        </w:rPr>
      </w:pPr>
      <w:proofErr w:type="gramStart"/>
      <w:r>
        <w:rPr>
          <w:i w:val="0"/>
          <w:iCs w:val="0"/>
          <w:sz w:val="22"/>
          <w:szCs w:val="22"/>
        </w:rPr>
        <w:t>se</w:t>
      </w:r>
      <w:proofErr w:type="gramEnd"/>
      <w:r>
        <w:rPr>
          <w:i w:val="0"/>
          <w:iCs w:val="0"/>
          <w:sz w:val="22"/>
          <w:szCs w:val="22"/>
        </w:rPr>
        <w:t xml:space="preserve"> níže uvedeného dne, měsíce a roku dohodly na uzavření dodatku č. 1 ke Smlouvě č. j. NG/2105/2018</w:t>
      </w:r>
      <w:r>
        <w:rPr>
          <w:i w:val="0"/>
          <w:iCs w:val="0"/>
          <w:sz w:val="22"/>
          <w:szCs w:val="22"/>
        </w:rPr>
        <w:br/>
        <w:t xml:space="preserve">ze dne 07. 11.2018 (dále jen </w:t>
      </w:r>
      <w:r>
        <w:rPr>
          <w:b/>
          <w:bCs/>
          <w:i w:val="0"/>
          <w:iCs w:val="0"/>
          <w:sz w:val="22"/>
          <w:szCs w:val="22"/>
        </w:rPr>
        <w:t xml:space="preserve">„Dodatek č. 1“) </w:t>
      </w:r>
      <w:r>
        <w:rPr>
          <w:i w:val="0"/>
          <w:iCs w:val="0"/>
          <w:sz w:val="22"/>
          <w:szCs w:val="22"/>
        </w:rPr>
        <w:t>v následujícím znění:</w:t>
      </w:r>
    </w:p>
    <w:p w:rsidR="009E1744" w:rsidRDefault="006E43A9">
      <w:pPr>
        <w:pStyle w:val="Zkladntext1"/>
        <w:shd w:val="clear" w:color="auto" w:fill="auto"/>
        <w:spacing w:after="100" w:line="240" w:lineRule="auto"/>
        <w:jc w:val="center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Článek I.</w:t>
      </w:r>
      <w:r>
        <w:rPr>
          <w:b/>
          <w:bCs/>
          <w:i w:val="0"/>
          <w:iCs w:val="0"/>
          <w:sz w:val="22"/>
          <w:szCs w:val="22"/>
        </w:rPr>
        <w:br/>
        <w:t>Úvodní prohlášení</w:t>
      </w:r>
    </w:p>
    <w:p w:rsidR="009E1744" w:rsidRDefault="006E43A9">
      <w:pPr>
        <w:pStyle w:val="Zkladntext1"/>
        <w:numPr>
          <w:ilvl w:val="0"/>
          <w:numId w:val="1"/>
        </w:numPr>
        <w:shd w:val="clear" w:color="auto" w:fill="auto"/>
        <w:tabs>
          <w:tab w:val="left" w:pos="565"/>
        </w:tabs>
        <w:spacing w:after="360" w:line="240" w:lineRule="auto"/>
        <w:ind w:left="580" w:hanging="58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Smluvní strany prohlašují </w:t>
      </w:r>
      <w:r>
        <w:rPr>
          <w:i w:val="0"/>
          <w:iCs w:val="0"/>
          <w:sz w:val="22"/>
          <w:szCs w:val="22"/>
        </w:rPr>
        <w:t xml:space="preserve">a potvrzují, že dne 07. 11. 2018 uzavřely </w:t>
      </w:r>
      <w:r>
        <w:t xml:space="preserve">„Smlouvu podle ustanovení §§ 2430 a násl. zákona č. 89/2012 Sb., občanský zákoník, ve znění pozdějších předpisů (dále jen </w:t>
      </w:r>
      <w:r>
        <w:rPr>
          <w:b/>
          <w:bCs/>
        </w:rPr>
        <w:t>„občanský zákoník“)“,</w:t>
      </w:r>
      <w:r>
        <w:rPr>
          <w:i w:val="0"/>
          <w:iCs w:val="0"/>
          <w:sz w:val="22"/>
          <w:szCs w:val="22"/>
        </w:rPr>
        <w:t xml:space="preserve"> a to za účelem uskutečnění záměru zadavatele realizovat projekt spočív</w:t>
      </w:r>
      <w:r>
        <w:rPr>
          <w:i w:val="0"/>
          <w:iCs w:val="0"/>
          <w:sz w:val="22"/>
          <w:szCs w:val="22"/>
        </w:rPr>
        <w:t xml:space="preserve">ající v transformaci a rekonstrukci Veletržního paláce (č. p. 530, k. </w:t>
      </w:r>
      <w:proofErr w:type="spellStart"/>
      <w:r>
        <w:rPr>
          <w:i w:val="0"/>
          <w:iCs w:val="0"/>
          <w:sz w:val="22"/>
          <w:szCs w:val="22"/>
        </w:rPr>
        <w:t>ú.</w:t>
      </w:r>
      <w:proofErr w:type="spellEnd"/>
      <w:r>
        <w:rPr>
          <w:i w:val="0"/>
          <w:iCs w:val="0"/>
          <w:sz w:val="22"/>
          <w:szCs w:val="22"/>
        </w:rPr>
        <w:t xml:space="preserve"> Holešovice) a jeho nejbližšího urbánního zázemí pro umístění expozice, depozitářů a administrativy Zadavatele, k jehož provedení bude zadána veřejná zakázka na služby spojené se zprac</w:t>
      </w:r>
      <w:r>
        <w:rPr>
          <w:i w:val="0"/>
          <w:iCs w:val="0"/>
          <w:sz w:val="22"/>
          <w:szCs w:val="22"/>
        </w:rPr>
        <w:t>ováním mezinárodního soutěžního návrhu urbanisticko-architektonického, konstrukčního a výtvarného řešení projektu v podobě kompletní projektové dokumentace.</w:t>
      </w:r>
    </w:p>
    <w:p w:rsidR="009E1744" w:rsidRDefault="006E43A9">
      <w:pPr>
        <w:pStyle w:val="Zkladntext1"/>
        <w:shd w:val="clear" w:color="auto" w:fill="auto"/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>Článek II.</w:t>
      </w:r>
    </w:p>
    <w:p w:rsidR="009E1744" w:rsidRDefault="006E43A9">
      <w:pPr>
        <w:pStyle w:val="Zkladntext1"/>
        <w:shd w:val="clear" w:color="auto" w:fill="auto"/>
        <w:spacing w:after="100" w:line="240" w:lineRule="auto"/>
        <w:jc w:val="center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Předmět Dodatku </w:t>
      </w:r>
      <w:r w:rsidR="00184A77">
        <w:rPr>
          <w:b/>
          <w:bCs/>
          <w:i w:val="0"/>
          <w:iCs w:val="0"/>
          <w:sz w:val="22"/>
          <w:szCs w:val="22"/>
        </w:rPr>
        <w:t>č</w:t>
      </w:r>
      <w:r>
        <w:rPr>
          <w:b/>
          <w:bCs/>
          <w:i w:val="0"/>
          <w:iCs w:val="0"/>
          <w:sz w:val="22"/>
          <w:szCs w:val="22"/>
        </w:rPr>
        <w:t>. 1</w:t>
      </w:r>
    </w:p>
    <w:p w:rsidR="009E1744" w:rsidRDefault="006E43A9">
      <w:pPr>
        <w:pStyle w:val="Zkladntext1"/>
        <w:numPr>
          <w:ilvl w:val="0"/>
          <w:numId w:val="2"/>
        </w:numPr>
        <w:shd w:val="clear" w:color="auto" w:fill="auto"/>
        <w:tabs>
          <w:tab w:val="left" w:pos="565"/>
        </w:tabs>
        <w:spacing w:after="280" w:line="240" w:lineRule="auto"/>
        <w:ind w:left="580" w:hanging="58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Smluvní strany se tímto Dodatkem č. 1 dohodly na změně vybraných </w:t>
      </w:r>
      <w:r>
        <w:rPr>
          <w:i w:val="0"/>
          <w:iCs w:val="0"/>
          <w:sz w:val="22"/>
          <w:szCs w:val="22"/>
        </w:rPr>
        <w:t>ujednání Smlouvy, přičemž za účelem přehlednosti Smluvní strany dále uvádějí celou Smlouvu ve znění změn podle tohoto Dodatku č. 1:</w:t>
      </w:r>
    </w:p>
    <w:p w:rsidR="009E1744" w:rsidRDefault="006E43A9">
      <w:pPr>
        <w:pStyle w:val="Zkladntext1"/>
        <w:shd w:val="clear" w:color="auto" w:fill="auto"/>
        <w:spacing w:after="0" w:line="262" w:lineRule="auto"/>
        <w:jc w:val="center"/>
      </w:pPr>
      <w:r>
        <w:rPr>
          <w:b/>
          <w:bCs/>
        </w:rPr>
        <w:lastRenderedPageBreak/>
        <w:t xml:space="preserve">„Článek </w:t>
      </w:r>
      <w:r>
        <w:rPr>
          <w:b/>
          <w:bCs/>
          <w:lang w:val="en-US" w:eastAsia="en-US" w:bidi="en-US"/>
        </w:rPr>
        <w:t>I.</w:t>
      </w:r>
    </w:p>
    <w:p w:rsidR="009E1744" w:rsidRDefault="006E43A9">
      <w:pPr>
        <w:pStyle w:val="Nadpis20"/>
        <w:keepNext/>
        <w:keepLines/>
        <w:shd w:val="clear" w:color="auto" w:fill="auto"/>
        <w:spacing w:line="262" w:lineRule="auto"/>
      </w:pPr>
      <w:bookmarkStart w:id="0" w:name="bookmark0"/>
      <w:bookmarkStart w:id="1" w:name="bookmark1"/>
      <w:r>
        <w:t>Identifikace právních vztahů</w:t>
      </w:r>
      <w:bookmarkEnd w:id="0"/>
      <w:bookmarkEnd w:id="1"/>
    </w:p>
    <w:p w:rsidR="009E1744" w:rsidRDefault="006E43A9">
      <w:pPr>
        <w:pStyle w:val="Zkladntext1"/>
        <w:numPr>
          <w:ilvl w:val="1"/>
          <w:numId w:val="2"/>
        </w:numPr>
        <w:shd w:val="clear" w:color="auto" w:fill="auto"/>
        <w:tabs>
          <w:tab w:val="left" w:pos="1000"/>
        </w:tabs>
        <w:spacing w:after="360" w:line="266" w:lineRule="auto"/>
        <w:ind w:left="960" w:hanging="360"/>
        <w:jc w:val="both"/>
      </w:pPr>
      <w:r>
        <w:t>Zadavatel má záměr realizovat projekt spočívající v transformaci a rekonstrukci Vele</w:t>
      </w:r>
      <w:r>
        <w:t xml:space="preserve">tržního paláce (č. p. 530, k. </w:t>
      </w:r>
      <w:proofErr w:type="spellStart"/>
      <w:r>
        <w:t>ú.</w:t>
      </w:r>
      <w:proofErr w:type="spellEnd"/>
      <w:r>
        <w:t xml:space="preserve"> Holešovice) a jeho nejbližšího urbánního zázemí pro umístění expozice, depozitářů a administrativy zadavatele, k jehož provedení bude zadána veřejná zakázka na služby spojené se zpracováním mezinárodního soutěžního návrhu u</w:t>
      </w:r>
      <w:r>
        <w:t xml:space="preserve">rbanisticko- architektonického, konstrukčního a výtvarného řešení projektu v podobě kompletní projektové dokumentace. Předmětná veřejná zakázka označená jako </w:t>
      </w:r>
      <w:r>
        <w:rPr>
          <w:b/>
          <w:bCs/>
        </w:rPr>
        <w:t xml:space="preserve">„NGP - předprojektová příprava stavby pro transformaci a rekonstrukci Veletržního paláce“ </w:t>
      </w:r>
      <w:r>
        <w:t>mezináro</w:t>
      </w:r>
      <w:r>
        <w:t>dní architektonická soutěž zadávaná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řízení se soutěžním dialogem podle § 68 (dále jen „ </w:t>
      </w:r>
      <w:r>
        <w:rPr>
          <w:b/>
          <w:bCs/>
        </w:rPr>
        <w:t>VZ - Transformace a rekonstrukce Veletržního paláce)</w:t>
      </w:r>
    </w:p>
    <w:p w:rsidR="009E1744" w:rsidRDefault="006E43A9">
      <w:pPr>
        <w:pStyle w:val="Zkladntext1"/>
        <w:numPr>
          <w:ilvl w:val="1"/>
          <w:numId w:val="2"/>
        </w:numPr>
        <w:shd w:val="clear" w:color="auto" w:fill="auto"/>
        <w:tabs>
          <w:tab w:val="left" w:pos="1000"/>
        </w:tabs>
        <w:spacing w:line="262" w:lineRule="auto"/>
        <w:ind w:left="960" w:hanging="360"/>
        <w:jc w:val="both"/>
      </w:pPr>
      <w:r>
        <w:t>Pro předmětnou veřejnou zakázku VZ - Transformace a rekonstrukce Veletržního paláce zadavatel realizuje investičn</w:t>
      </w:r>
      <w:r>
        <w:t>í akci nazvanou „NG - Veletržní palác - předprojektová příprava stavby“, která byla zaregistrována Ministerstvem kultury České republiky pod identifikačním číslem 134V131000051 (dále jen „registrovaná akce“), a to k</w:t>
      </w:r>
      <w:r w:rsidR="00184A77">
        <w:t xml:space="preserve"> </w:t>
      </w:r>
      <w:r>
        <w:t>poskytnutí dotace ze státního rozpočtu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rámci programu Rozvoje a obnovy materiálně technické základy státních kulturních zařízení. Zadavatel je tak vázán podmínkami registrované akce, které jsou přílohou č. 3 </w:t>
      </w:r>
      <w:proofErr w:type="gramStart"/>
      <w:r>
        <w:t>této</w:t>
      </w:r>
      <w:proofErr w:type="gramEnd"/>
      <w:r>
        <w:t xml:space="preserve"> Smlouvy, jakožto její nedílná součást, a</w:t>
      </w:r>
      <w:r>
        <w:rPr>
          <w:i w:val="0"/>
          <w:iCs w:val="0"/>
          <w:sz w:val="22"/>
          <w:szCs w:val="22"/>
        </w:rPr>
        <w:t xml:space="preserve"> v </w:t>
      </w:r>
      <w:r>
        <w:t>případě rozporu této Smlouvy se závazný</w:t>
      </w:r>
      <w:r>
        <w:t>mi podmínkami registrované akce, mají takové podmínky registrované akce přednost a jsou závazné i pro dodavatele.</w:t>
      </w:r>
    </w:p>
    <w:p w:rsidR="009E1744" w:rsidRDefault="006E43A9">
      <w:pPr>
        <w:pStyle w:val="Zkladntext1"/>
        <w:numPr>
          <w:ilvl w:val="1"/>
          <w:numId w:val="2"/>
        </w:numPr>
        <w:shd w:val="clear" w:color="auto" w:fill="auto"/>
        <w:tabs>
          <w:tab w:val="left" w:pos="1000"/>
        </w:tabs>
        <w:ind w:left="960" w:hanging="360"/>
        <w:jc w:val="both"/>
      </w:pPr>
      <w:r>
        <w:t>Nalezené řešení v řízení se soutěžním dialogem musí respektovat technické požadavky a ekonomické možnosti zadavatele.</w:t>
      </w:r>
    </w:p>
    <w:p w:rsidR="009E1744" w:rsidRDefault="006E43A9">
      <w:pPr>
        <w:pStyle w:val="Zkladntext1"/>
        <w:numPr>
          <w:ilvl w:val="1"/>
          <w:numId w:val="2"/>
        </w:numPr>
        <w:shd w:val="clear" w:color="auto" w:fill="auto"/>
        <w:tabs>
          <w:tab w:val="left" w:pos="1000"/>
        </w:tabs>
        <w:spacing w:line="262" w:lineRule="auto"/>
        <w:ind w:left="960" w:hanging="360"/>
        <w:jc w:val="both"/>
      </w:pPr>
      <w:r>
        <w:t>Záměrem předmětné veřejn</w:t>
      </w:r>
      <w:r>
        <w:t>é zakázky NGP- předprojektová příprava stavby, Transformace a rekonstrukce Veletržního palác je dosáhnout transformací a rekonstrukcí Veletržního paláce zejména vytvoření: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266"/>
        </w:tabs>
        <w:spacing w:after="0" w:line="262" w:lineRule="auto"/>
        <w:ind w:firstLine="960"/>
        <w:jc w:val="both"/>
      </w:pPr>
      <w:r>
        <w:t>ústřední budovy zadavatele s centralizovanou administrací;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306"/>
        </w:tabs>
        <w:spacing w:after="0" w:line="262" w:lineRule="auto"/>
        <w:ind w:left="1260" w:hanging="260"/>
        <w:jc w:val="both"/>
      </w:pPr>
      <w:r>
        <w:t xml:space="preserve">výstavních prostorů </w:t>
      </w:r>
      <w:r>
        <w:t>vhodných pro dlouhodobou prezentaci sbírek umění 19., 20. a 21. století;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266"/>
        </w:tabs>
        <w:spacing w:after="0" w:line="262" w:lineRule="auto"/>
        <w:ind w:firstLine="960"/>
        <w:jc w:val="both"/>
      </w:pPr>
      <w:r>
        <w:t>výstavních prostorů vhodných pro krátkodobé projekty;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306"/>
        </w:tabs>
        <w:spacing w:after="0" w:line="262" w:lineRule="auto"/>
        <w:ind w:left="1260" w:hanging="260"/>
        <w:jc w:val="both"/>
      </w:pPr>
      <w:r>
        <w:t>depozitářů sbírkového fondu kresby a grafiky zadavatele včetně nezbytného souvisejícího zázemí (restaurátorské dílny a studovny);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266"/>
        </w:tabs>
        <w:spacing w:after="0" w:line="262" w:lineRule="auto"/>
        <w:ind w:firstLine="960"/>
        <w:jc w:val="both"/>
      </w:pPr>
      <w:r>
        <w:t>prostorů pro knihovnu a archiv zadavatele včetně veřejné čítárny a studijních sálů;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266"/>
        </w:tabs>
        <w:spacing w:after="0" w:line="262" w:lineRule="auto"/>
        <w:ind w:firstLine="960"/>
        <w:jc w:val="both"/>
      </w:pPr>
      <w:r>
        <w:t>prostorů pro vzdělávací a volnočasové aktivity pro všechny věkové kategorie návštěvníků;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316"/>
        </w:tabs>
        <w:spacing w:after="0" w:line="262" w:lineRule="auto"/>
        <w:ind w:left="1260" w:hanging="260"/>
        <w:jc w:val="both"/>
      </w:pPr>
      <w:r>
        <w:t>prostorů pro doplňkové gastronomické služby a obchodní aktivity (restaurace, kavár</w:t>
      </w:r>
      <w:r>
        <w:t>ny, prodejny, knihkupectví ad.);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316"/>
        </w:tabs>
        <w:spacing w:after="0" w:line="262" w:lineRule="auto"/>
        <w:ind w:left="1260" w:hanging="260"/>
        <w:jc w:val="both"/>
      </w:pPr>
      <w:r>
        <w:t>multifunkčních prostorů pro veřejné programy od konferencí a seminářů, koncertů a divadelních představení až po nejrůznější festivaly a komunitní aktivity.</w:t>
      </w:r>
    </w:p>
    <w:p w:rsidR="009E1744" w:rsidRDefault="006E43A9">
      <w:pPr>
        <w:pStyle w:val="Zkladntext1"/>
        <w:numPr>
          <w:ilvl w:val="0"/>
          <w:numId w:val="3"/>
        </w:numPr>
        <w:shd w:val="clear" w:color="auto" w:fill="auto"/>
        <w:tabs>
          <w:tab w:val="left" w:pos="1316"/>
        </w:tabs>
        <w:spacing w:line="262" w:lineRule="auto"/>
        <w:ind w:left="1260" w:hanging="260"/>
        <w:jc w:val="both"/>
      </w:pPr>
      <w:r>
        <w:rPr>
          <w:i w:val="0"/>
          <w:iCs w:val="0"/>
          <w:sz w:val="22"/>
          <w:szCs w:val="22"/>
        </w:rPr>
        <w:t xml:space="preserve">v </w:t>
      </w:r>
      <w:r>
        <w:t>souladu s popsanými záměry též vytvoření odpovídajících příjezdov</w:t>
      </w:r>
      <w:r>
        <w:t>ých a parkovacích možností pro vlastní provoz zadavatele i pro návštěvníky a vytvoření veřejného prostranství před východní fasádou Veletržního paláce propojeného s ulicí Dukelských hrdinů a odpovídajícího svým charakterem a řešením významu zadavatele.</w:t>
      </w:r>
    </w:p>
    <w:p w:rsidR="009E1744" w:rsidRDefault="006E43A9">
      <w:pPr>
        <w:pStyle w:val="Zkladntext1"/>
        <w:numPr>
          <w:ilvl w:val="1"/>
          <w:numId w:val="2"/>
        </w:numPr>
        <w:shd w:val="clear" w:color="auto" w:fill="auto"/>
        <w:tabs>
          <w:tab w:val="left" w:pos="1000"/>
        </w:tabs>
        <w:spacing w:after="480" w:line="262" w:lineRule="auto"/>
        <w:ind w:left="960" w:hanging="360"/>
        <w:jc w:val="both"/>
      </w:pPr>
      <w:r>
        <w:t>Dod</w:t>
      </w:r>
      <w:r>
        <w:t>avatel prohlašuje, že je odborně způsobilý a oprávněn na území ČR i v zahraničí poskytovat za úplatu všechny služby, jejichž poskytnutí je předmětem této Smlouvy, a že si je vědom, že přitom musí dodržovat jak závazky sjednané touto Smlouvou, tak i specifi</w:t>
      </w:r>
      <w:r>
        <w:t>kaci předmětné veřejné zakázky popsanou v této Smlouvě, ale především příslušná ustanovení ZZVZ, jakož i další pravidla popsaná v podmínkách registrované akce a v podmínkách stanovených Magistrátem hl. m. Prahy, Odborem památkové péče, v jeho rozhodnutí vy</w:t>
      </w:r>
      <w:r>
        <w:t>daném pod č. j. MHMP 19201552016 ve věci obnovy a stavebních úprav Veletržního paláce, který je nemovitou kulturní památkou, a konečně i v Soutěžním řádu České komory architektů,</w:t>
      </w:r>
      <w:r>
        <w:rPr>
          <w:i w:val="0"/>
          <w:iCs w:val="0"/>
          <w:sz w:val="22"/>
          <w:szCs w:val="22"/>
        </w:rPr>
        <w:t xml:space="preserve"> v </w:t>
      </w:r>
      <w:r>
        <w:t>platném znění.</w:t>
      </w:r>
    </w:p>
    <w:p w:rsidR="00184A77" w:rsidRDefault="00184A77" w:rsidP="00184A77">
      <w:pPr>
        <w:pStyle w:val="Zkladntext1"/>
        <w:shd w:val="clear" w:color="auto" w:fill="auto"/>
        <w:tabs>
          <w:tab w:val="left" w:pos="1000"/>
        </w:tabs>
        <w:spacing w:after="480" w:line="262" w:lineRule="auto"/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1000"/>
        </w:tabs>
        <w:spacing w:after="480" w:line="262" w:lineRule="auto"/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1000"/>
        </w:tabs>
        <w:spacing w:after="480" w:line="262" w:lineRule="auto"/>
        <w:jc w:val="both"/>
      </w:pP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Předmět a účel Smlouvy</w:t>
      </w:r>
      <w:bookmarkEnd w:id="2"/>
      <w:bookmarkEnd w:id="3"/>
    </w:p>
    <w:p w:rsidR="009E1744" w:rsidRDefault="006E43A9">
      <w:pPr>
        <w:pStyle w:val="Zkladntext1"/>
        <w:numPr>
          <w:ilvl w:val="0"/>
          <w:numId w:val="4"/>
        </w:numPr>
        <w:shd w:val="clear" w:color="auto" w:fill="auto"/>
        <w:tabs>
          <w:tab w:val="left" w:pos="988"/>
        </w:tabs>
        <w:ind w:left="920" w:hanging="380"/>
        <w:jc w:val="both"/>
      </w:pPr>
      <w:r>
        <w:t xml:space="preserve">Předmětem této Smlouvy je </w:t>
      </w:r>
      <w:r>
        <w:t xml:space="preserve">závazek dodavatele vykonávat jménem a na účet zadavatele činnosti související s přípravou a organizací řízení se soutěžním dialogem ve smyslu </w:t>
      </w:r>
      <w:proofErr w:type="spellStart"/>
      <w:r>
        <w:t>ust</w:t>
      </w:r>
      <w:proofErr w:type="spellEnd"/>
      <w:r w:rsidR="00184A77">
        <w:t>.</w:t>
      </w:r>
      <w:r>
        <w:t xml:space="preserve"> § 68 a násl. ve </w:t>
      </w:r>
      <w:proofErr w:type="gramStart"/>
      <w:r>
        <w:t>spojeni</w:t>
      </w:r>
      <w:proofErr w:type="gramEnd"/>
      <w:r>
        <w:t xml:space="preserve"> s § 60 ZZVZ</w:t>
      </w:r>
      <w:r w:rsidR="00184A77">
        <w:t xml:space="preserve"> </w:t>
      </w:r>
      <w:r>
        <w:t>pro zadání předmětné veřejné zakázky VZ — Transformace a rekonstrukce Vele</w:t>
      </w:r>
      <w:r>
        <w:t xml:space="preserve">tržního paláce v souladu s touto Smlouvou, tj. zejména komplexně zabezpečit právní a administrativní služby v souvislosti s řízením se soutěžním dialogem pro zadání předmětné veřejné zakázky VZ- Transformace a rekonstrukce Veletržního palác, kdy výsledkem </w:t>
      </w:r>
      <w:r>
        <w:t>bude výběr dodavatele s nabídkou vyhodnocenou jako ekonomicky nejvýhodnější, a závazek zadavatele poskytnout za to dodavateli cenu ve sjednané výši za podmínek dále uvedených.</w:t>
      </w:r>
    </w:p>
    <w:p w:rsidR="009E1744" w:rsidRDefault="006E43A9">
      <w:pPr>
        <w:pStyle w:val="Zkladntext1"/>
        <w:numPr>
          <w:ilvl w:val="0"/>
          <w:numId w:val="5"/>
        </w:numPr>
        <w:shd w:val="clear" w:color="auto" w:fill="auto"/>
        <w:tabs>
          <w:tab w:val="left" w:pos="971"/>
        </w:tabs>
        <w:ind w:left="920" w:hanging="380"/>
        <w:jc w:val="both"/>
      </w:pPr>
      <w:r>
        <w:t xml:space="preserve">V rámci služeb popsaných v odst. 2.1 tohoto článku Smlouvy dodavatel zajistí </w:t>
      </w:r>
      <w:r>
        <w:t>jménem a na účet zadavatele zejména, nikoliv však výlučně, následující činnosti: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35"/>
        </w:tabs>
        <w:ind w:firstLine="920"/>
        <w:jc w:val="both"/>
      </w:pPr>
      <w:r>
        <w:t>činnosti spojené s přípravou 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35"/>
        </w:tabs>
        <w:ind w:firstLine="920"/>
        <w:jc w:val="both"/>
      </w:pPr>
      <w:r>
        <w:t>veškeré činnosti spojené se zahájením 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75"/>
        </w:tabs>
        <w:spacing w:line="266" w:lineRule="auto"/>
        <w:ind w:left="1240" w:hanging="280"/>
        <w:jc w:val="both"/>
      </w:pPr>
      <w:r>
        <w:t>veškeré činnosti spojené s průběhem lhůty pro po</w:t>
      </w:r>
      <w:r>
        <w:t>dání žádostí o účast v 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35"/>
        </w:tabs>
        <w:ind w:firstLine="920"/>
        <w:jc w:val="both"/>
      </w:pPr>
      <w:r>
        <w:t>veškeré činnosti spojené s posuzováním žádostí o účast</w:t>
      </w:r>
      <w:r>
        <w:rPr>
          <w:i w:val="0"/>
          <w:iCs w:val="0"/>
          <w:sz w:val="22"/>
          <w:szCs w:val="22"/>
        </w:rPr>
        <w:t xml:space="preserve"> v </w:t>
      </w:r>
      <w:r>
        <w:t>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75"/>
        </w:tabs>
        <w:ind w:left="1240" w:hanging="280"/>
        <w:jc w:val="both"/>
      </w:pPr>
      <w:r>
        <w:t>veškeré činnosti spojené s průběhem a ukončením soutěžního dialogu</w:t>
      </w:r>
      <w:r>
        <w:rPr>
          <w:i w:val="0"/>
          <w:iCs w:val="0"/>
          <w:sz w:val="22"/>
          <w:szCs w:val="22"/>
        </w:rPr>
        <w:t xml:space="preserve"> v </w:t>
      </w:r>
      <w:r>
        <w:t>řízení se soutěžním dialogem včetně veškerých č</w:t>
      </w:r>
      <w:r>
        <w:t>inností spojených s podáváním nabídek;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35"/>
        </w:tabs>
        <w:ind w:firstLine="920"/>
        <w:jc w:val="both"/>
      </w:pPr>
      <w:r>
        <w:t>veškeré činnosti spojené s hodnocením nabídek v 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82"/>
        </w:tabs>
        <w:ind w:left="920" w:firstLine="40"/>
        <w:jc w:val="both"/>
      </w:pPr>
      <w:r>
        <w:t>veškeré činnosti spojené s ukončením řízení se soutěžním dialogem;</w:t>
      </w:r>
    </w:p>
    <w:p w:rsidR="009E1744" w:rsidRDefault="006E43A9">
      <w:pPr>
        <w:pStyle w:val="Zkladntext1"/>
        <w:numPr>
          <w:ilvl w:val="0"/>
          <w:numId w:val="6"/>
        </w:numPr>
        <w:shd w:val="clear" w:color="auto" w:fill="auto"/>
        <w:tabs>
          <w:tab w:val="left" w:pos="1282"/>
        </w:tabs>
        <w:ind w:left="920" w:firstLine="40"/>
        <w:jc w:val="both"/>
      </w:pPr>
      <w:r>
        <w:t>další činnosti související řízením se soutěžním dialogem.</w:t>
      </w:r>
    </w:p>
    <w:p w:rsidR="009E1744" w:rsidRDefault="006E43A9">
      <w:pPr>
        <w:pStyle w:val="Zkladntext1"/>
        <w:shd w:val="clear" w:color="auto" w:fill="auto"/>
        <w:ind w:left="920" w:firstLine="40"/>
        <w:jc w:val="both"/>
      </w:pPr>
      <w:r>
        <w:t xml:space="preserve">Podrobný </w:t>
      </w:r>
      <w:r>
        <w:rPr>
          <w:lang w:val="en-US" w:eastAsia="en-US" w:bidi="en-US"/>
        </w:rPr>
        <w:t>demons</w:t>
      </w:r>
      <w:proofErr w:type="spellStart"/>
      <w:r>
        <w:t>tr</w:t>
      </w:r>
      <w:proofErr w:type="spellEnd"/>
      <w:r>
        <w:rPr>
          <w:lang w:val="en-US" w:eastAsia="en-US" w:bidi="en-US"/>
        </w:rPr>
        <w:t>at</w:t>
      </w:r>
      <w:proofErr w:type="spellStart"/>
      <w:r>
        <w:t>ivní</w:t>
      </w:r>
      <w:proofErr w:type="spellEnd"/>
      <w:r>
        <w:t xml:space="preserve"> výčet činností poskytovaných administrátorem zadavateli v rámci předmětu plnění podle této Smlouvy je uveden v příloze č. 1 této Smlouvy jakožto její nedílné součásti.</w:t>
      </w:r>
    </w:p>
    <w:p w:rsidR="009E1744" w:rsidRDefault="006E43A9">
      <w:pPr>
        <w:pStyle w:val="Zkladntext1"/>
        <w:shd w:val="clear" w:color="auto" w:fill="auto"/>
        <w:spacing w:line="262" w:lineRule="auto"/>
        <w:ind w:left="920" w:firstLine="40"/>
        <w:jc w:val="both"/>
      </w:pPr>
      <w:r>
        <w:t>Pokud nejsou některé činnosti výslovně zahrnuty ve výčtu činností posk</w:t>
      </w:r>
      <w:r>
        <w:t>ytovaných administrátorem zadavateli podle odst. 2.3 tohoto článku Smlouvy a/nebo přílohy č. 1 Smlouvy, má se za to, že administrátor je povinen vykonat všechny činnosti a úkony, které zadavateli v průběhu soutěže o návrh a navazujícího jednacího řízení be</w:t>
      </w:r>
      <w:r>
        <w:t>z uveřejnění nebo řízení se soutěžním dialogem ukládá ZZVZ, ledaže se jedná o činnosti vyhrazené na základě § 43 odst. 2 ZZVZ výlučně zadavateli, nebo které si zadavatel pro sebe předem písemně vyhradil.</w:t>
      </w:r>
    </w:p>
    <w:p w:rsidR="009E1744" w:rsidRDefault="006E43A9">
      <w:pPr>
        <w:pStyle w:val="Zkladntext1"/>
        <w:numPr>
          <w:ilvl w:val="0"/>
          <w:numId w:val="5"/>
        </w:numPr>
        <w:shd w:val="clear" w:color="auto" w:fill="auto"/>
        <w:tabs>
          <w:tab w:val="left" w:pos="971"/>
        </w:tabs>
        <w:spacing w:line="259" w:lineRule="auto"/>
        <w:ind w:left="920" w:hanging="380"/>
        <w:jc w:val="both"/>
      </w:pPr>
      <w:r>
        <w:t>Dodavatel se dále v rámci služeb popsaných</w:t>
      </w:r>
      <w:r>
        <w:rPr>
          <w:i w:val="0"/>
          <w:iCs w:val="0"/>
          <w:sz w:val="22"/>
          <w:szCs w:val="22"/>
        </w:rPr>
        <w:t xml:space="preserve"> v </w:t>
      </w:r>
      <w:r>
        <w:t>odst. 2</w:t>
      </w:r>
      <w:r>
        <w:t>.1 Smlouvy výslovně zavazuje, že součástí jím připravené zadávací dokumentace bude mimo jiné i:</w:t>
      </w:r>
    </w:p>
    <w:p w:rsidR="009E1744" w:rsidRDefault="006E43A9">
      <w:pPr>
        <w:pStyle w:val="Zkladntext1"/>
        <w:numPr>
          <w:ilvl w:val="0"/>
          <w:numId w:val="7"/>
        </w:numPr>
        <w:shd w:val="clear" w:color="auto" w:fill="auto"/>
        <w:tabs>
          <w:tab w:val="left" w:pos="1271"/>
        </w:tabs>
        <w:ind w:left="1240" w:hanging="280"/>
        <w:jc w:val="both"/>
      </w:pPr>
      <w:r>
        <w:t>stanovení povinnosti účastníka předložit</w:t>
      </w:r>
      <w:r>
        <w:rPr>
          <w:i w:val="0"/>
          <w:iCs w:val="0"/>
          <w:sz w:val="22"/>
          <w:szCs w:val="22"/>
        </w:rPr>
        <w:t xml:space="preserve"> v </w:t>
      </w:r>
      <w:r>
        <w:t>rámci soutěžního dialogu předběžný nezávazný odhad předpokládaných investičních nákladů na realizaci Projektu;</w:t>
      </w:r>
    </w:p>
    <w:p w:rsidR="009E1744" w:rsidRDefault="006E43A9">
      <w:pPr>
        <w:pStyle w:val="Zkladntext1"/>
        <w:numPr>
          <w:ilvl w:val="0"/>
          <w:numId w:val="7"/>
        </w:numPr>
        <w:shd w:val="clear" w:color="auto" w:fill="auto"/>
        <w:tabs>
          <w:tab w:val="left" w:pos="1271"/>
        </w:tabs>
        <w:spacing w:after="500" w:line="266" w:lineRule="auto"/>
        <w:ind w:left="1240" w:hanging="280"/>
        <w:jc w:val="both"/>
      </w:pPr>
      <w:r>
        <w:t xml:space="preserve">způsob sestavení nezávazné cenové nabídky účastníka pro předmětnou veřejnou zakázku; způsob sestavení nezávazné cenové nabídky a její případná závislost na nezávazném odhadu předpokládaných investičních nákladů na realizaci projektu předkládaný účastníky, </w:t>
      </w:r>
      <w:r>
        <w:t xml:space="preserve">musí být administrátorem stanoven v souladu s obecně závaznými předpisy a pokyny zadavatele. Na základě nezávazných cenových nabídek předložených účastníky bude ve výzvě k podání nabídek stanovena nejnižší a nejvyšší nabídková cena pro předmětnou veřejnou </w:t>
      </w:r>
      <w:r>
        <w:t>zakázku jakožto podklad pro navazující jednací řízení bez uveřejnění.</w:t>
      </w:r>
    </w:p>
    <w:p w:rsidR="009E1744" w:rsidRDefault="006E43A9">
      <w:pPr>
        <w:pStyle w:val="Zkladntext1"/>
        <w:numPr>
          <w:ilvl w:val="0"/>
          <w:numId w:val="5"/>
        </w:numPr>
        <w:shd w:val="clear" w:color="auto" w:fill="auto"/>
        <w:tabs>
          <w:tab w:val="left" w:pos="961"/>
        </w:tabs>
        <w:spacing w:line="262" w:lineRule="auto"/>
        <w:ind w:left="920" w:hanging="380"/>
        <w:jc w:val="both"/>
      </w:pPr>
      <w:r>
        <w:lastRenderedPageBreak/>
        <w:t>Dodavatel je povinen při jakékoliv své činnosti podle tohoto článku Smlouvy vždy sám zadavatele písemně a</w:t>
      </w:r>
      <w:r>
        <w:rPr>
          <w:i w:val="0"/>
          <w:iCs w:val="0"/>
          <w:sz w:val="22"/>
          <w:szCs w:val="22"/>
        </w:rPr>
        <w:t xml:space="preserve"> v </w:t>
      </w:r>
      <w:r>
        <w:t>dostatečném časovém předstihu upozornit na nutnost nebo povinnost provedení ur</w:t>
      </w:r>
      <w:r>
        <w:t>čitých úkonů a/nebo činností v rámci řízení se soutěžním dialogem pro zadání předmětné veřejné zakázky.</w:t>
      </w:r>
    </w:p>
    <w:p w:rsidR="009E1744" w:rsidRDefault="006E43A9">
      <w:pPr>
        <w:pStyle w:val="Zkladntext1"/>
        <w:numPr>
          <w:ilvl w:val="0"/>
          <w:numId w:val="5"/>
        </w:numPr>
        <w:shd w:val="clear" w:color="auto" w:fill="auto"/>
        <w:tabs>
          <w:tab w:val="left" w:pos="961"/>
        </w:tabs>
        <w:ind w:left="920" w:hanging="380"/>
        <w:jc w:val="both"/>
      </w:pPr>
      <w:r>
        <w:t>Činnosti podle tohoto článku Smlouvy budou bez nutnosti další specifikace prováděny podle potřeby i formou účasti na jednání, telefonickou, e-mailovou k</w:t>
      </w:r>
      <w:r>
        <w:t>omunikací, zpracováním písemných zpráv a podkladů a dalšími formami přímé i nepřímé komunikace.</w:t>
      </w:r>
    </w:p>
    <w:p w:rsidR="009E1744" w:rsidRDefault="006E43A9">
      <w:pPr>
        <w:pStyle w:val="Zkladntext1"/>
        <w:numPr>
          <w:ilvl w:val="0"/>
          <w:numId w:val="5"/>
        </w:numPr>
        <w:shd w:val="clear" w:color="auto" w:fill="auto"/>
        <w:tabs>
          <w:tab w:val="left" w:pos="961"/>
        </w:tabs>
        <w:ind w:left="920" w:hanging="380"/>
        <w:jc w:val="both"/>
      </w:pPr>
      <w:r>
        <w:t>Zadavatel je oprávněn, pokud je to odůvodněné, v průběhu přípravy řízení se soutěžním dialogem pro zadání předmětné veřejné zakázky NGP-předprojektová příprav s</w:t>
      </w:r>
      <w:r>
        <w:t>tavby, Transformace a rekonstrukce Veletržního paláce měnit parametry předmětné veřejné zakázky a dodavatel je povinen své výše popsané plnění těmto změněným parametrům předmětné veřejné zakázky vždy včas a řádně přizpůsobit.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Povinnosti dodavatele</w:t>
      </w:r>
      <w:bookmarkEnd w:id="4"/>
      <w:bookmarkEnd w:id="5"/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1"/>
        </w:tabs>
        <w:ind w:left="920" w:hanging="380"/>
        <w:jc w:val="both"/>
      </w:pPr>
      <w:r>
        <w:t>Dodavatel se při poskytování předmětu plnění podle této Smlouvy bude řídit pokyny zadavatele a postupovat</w:t>
      </w:r>
      <w:r>
        <w:rPr>
          <w:i w:val="0"/>
          <w:iCs w:val="0"/>
          <w:sz w:val="22"/>
          <w:szCs w:val="22"/>
        </w:rPr>
        <w:t xml:space="preserve"> v </w:t>
      </w:r>
      <w:r>
        <w:t>přímé součinnosti se zadavatelem. Pokud zadavatel neposkytne v dostatečném předstihu dodavateli potřebné pokyny, přičemž dodavatel postupoval podle</w:t>
      </w:r>
      <w:r>
        <w:t xml:space="preserve"> ustanovení odst. 2.4 této Smlouvy nebo odst. 3.2 tohoto článku Smlouvy, je dodavatel oprávněn postupovat samostatně tak, aby byly vždy řádně chráněny zájmy zadavatele, které dodavatel zná nebo znát má.</w:t>
      </w: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1"/>
        </w:tabs>
        <w:spacing w:line="262" w:lineRule="auto"/>
        <w:ind w:left="920" w:hanging="380"/>
        <w:jc w:val="both"/>
      </w:pPr>
      <w:r>
        <w:t>Dodavatel je při plnění této Smlouvy povinen postupov</w:t>
      </w:r>
      <w:r>
        <w:t>at poctivě a pečlivě podle svých schopností, jakož i s náležitou odbornou péčí, zajišťovat plnění této Smlouvy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souladu se zájmy zadavatele, které zná nebo má znát, oznámit zadavateli všechny okolnosti, které zjistí při výkonu své činnosti a jež mohou mít vliv na změnu pokynů zadavatele. Zjistí-li dodavatel kdykoliv </w:t>
      </w:r>
      <w:r>
        <w:rPr>
          <w:i w:val="0"/>
          <w:iCs w:val="0"/>
          <w:sz w:val="22"/>
          <w:szCs w:val="22"/>
        </w:rPr>
        <w:t xml:space="preserve">v </w:t>
      </w:r>
      <w:r>
        <w:t xml:space="preserve">průběhu řízení se soutěžním dialogem pro </w:t>
      </w:r>
      <w:proofErr w:type="gramStart"/>
      <w:r>
        <w:t>zadáni</w:t>
      </w:r>
      <w:proofErr w:type="gramEnd"/>
      <w:r>
        <w:t xml:space="preserve"> </w:t>
      </w:r>
      <w:r>
        <w:t xml:space="preserve">předmětné veřejné zakázky NGP- předprojektová příprav stavby, Transformace a rekonstrukce Veletržního paláce, že pokyny zadavatele jsou nevhodné či pro plnění předmětu této Smlouvy neúčelné, nebo jsou-li úkony zadavatele v rozporu se ZZVZ nebo jakýmikoliv </w:t>
      </w:r>
      <w:r>
        <w:t>závaznými pravidly, je povinen na to zadavatele upozornit. Všechna upozornění činí dodavatel vůči zadavateli písemně.</w:t>
      </w: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1"/>
        </w:tabs>
        <w:spacing w:line="257" w:lineRule="auto"/>
        <w:ind w:left="920" w:hanging="380"/>
        <w:jc w:val="both"/>
      </w:pPr>
      <w:r>
        <w:t>Dodavatel provede činnosti vymezené demonstrativním způsobem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čl. 2 této Smlouvy a v příloze č. 1 této Smlouvy osobně. Pokud dodavatel </w:t>
      </w:r>
      <w:r>
        <w:t>svěří provedení činností podle této Smlouvy jinému, odpovídá zadavateli, jako by je prováděl sám.</w:t>
      </w:r>
    </w:p>
    <w:p w:rsidR="00184A77" w:rsidRDefault="006E43A9" w:rsidP="001373F5">
      <w:pPr>
        <w:pStyle w:val="Zkladntext1"/>
        <w:numPr>
          <w:ilvl w:val="0"/>
          <w:numId w:val="8"/>
        </w:numPr>
        <w:shd w:val="clear" w:color="auto" w:fill="auto"/>
        <w:tabs>
          <w:tab w:val="left" w:pos="961"/>
        </w:tabs>
        <w:ind w:left="920" w:hanging="380"/>
        <w:jc w:val="both"/>
      </w:pPr>
      <w:r>
        <w:t>Dodavatel při plnění této Smlouvy odpovídá za škodu</w:t>
      </w:r>
      <w:r w:rsidRPr="00184A77">
        <w:rPr>
          <w:i w:val="0"/>
          <w:iCs w:val="0"/>
          <w:sz w:val="22"/>
          <w:szCs w:val="22"/>
        </w:rPr>
        <w:t xml:space="preserve"> v </w:t>
      </w:r>
      <w:r>
        <w:t>souladu s ustanovením § 2894 a násl. občanského zákoníku. Dodavatel</w:t>
      </w:r>
      <w:r w:rsidRPr="00184A77">
        <w:rPr>
          <w:i w:val="0"/>
          <w:iCs w:val="0"/>
          <w:sz w:val="22"/>
          <w:szCs w:val="22"/>
        </w:rPr>
        <w:t xml:space="preserve"> v </w:t>
      </w:r>
      <w:r>
        <w:t>rozsahu své činnosti a úkonů dle t</w:t>
      </w:r>
      <w:r>
        <w:t>éto Smlouvy vůči zadavateli tak odpovídá za zákonný průběh řízení se soutěžním dialogem pro zadání předmětné veřejné zakázky NGP-předprojektová příprava stavby, Transformace a rekonstrukce Veletržního paláce a za soulad postupů se závaznými pravidly uveden</w:t>
      </w:r>
      <w:r>
        <w:t>ými v odst. 1.6 této Smlouvy a nese veškeré náklady zadavatele vzniklé zadavateli porušením ZZVZ nebo uvedených pravidel zadavatelem, pokud je takové porušení důsledkem činnosti dodavatele dle této Smlouvy, tzn. dodavatel nese zejména, nikoliv však výlučně</w:t>
      </w:r>
      <w:r>
        <w:t xml:space="preserve"> náklady na přípravu a realizaci příslušných nápravných opatření, náklady zadavatele vynaložené na řízení o přezkoumání úkonů zadavatele, a náklady na zaplacení příslušným úřadem eventuálně stanovené sankce.</w:t>
      </w:r>
      <w:r w:rsidR="00184A77">
        <w:t xml:space="preserve"> </w:t>
      </w:r>
    </w:p>
    <w:p w:rsidR="009E1744" w:rsidRDefault="006E43A9">
      <w:pPr>
        <w:pStyle w:val="Zkladntext1"/>
        <w:shd w:val="clear" w:color="auto" w:fill="auto"/>
        <w:ind w:left="920" w:firstLine="40"/>
        <w:jc w:val="both"/>
      </w:pPr>
      <w:r>
        <w:t xml:space="preserve">Dodavatel odpovídá vůči zadavateli i za správné </w:t>
      </w:r>
      <w:r>
        <w:t>vymezení předmětu předmětné veřejné zakázky.</w:t>
      </w: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184A77" w:rsidRDefault="00184A77">
      <w:pPr>
        <w:pStyle w:val="Zkladntext1"/>
        <w:shd w:val="clear" w:color="auto" w:fill="auto"/>
        <w:ind w:left="920" w:firstLine="40"/>
        <w:jc w:val="both"/>
      </w:pP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left="920" w:hanging="380"/>
        <w:jc w:val="both"/>
      </w:pPr>
      <w:r>
        <w:t>Dodavatel se své odpovědnosti podle předchozích odstavců zprostí, pokud prokáže, že k porušení ZZVZ nebo jiných závazných pravidel uvedených v odst. 1.6 Smlouvy došlo jednáním zadavatele, které dodavateli nemohl</w:t>
      </w:r>
      <w:r>
        <w:t>o být a nebylo známo a dodavatel přitom neporušil svoji povinnost podle ustanovení odst. 2.4 této Smlouvy, nebo pokud prokáže, že zadavatel tímto způsobem jednal i přes výslovné a písemné upozornění dodavatele, že jeho jednání je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rozporu se ZZVZ nebo se </w:t>
      </w:r>
      <w:r>
        <w:t>závaznými pravidly uvedenými v odst. 1.6 Smlouvy.</w:t>
      </w: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left="920" w:hanging="380"/>
        <w:jc w:val="both"/>
      </w:pPr>
      <w:r>
        <w:t>Dodavatel se zavazuje poskytnout zadavateli informace a dokumentaci požadovanou k dokladování činnosti dodavatele a umožnit přístup kontrolou pověřeným osobám (např. pracovníkům Ministerstva kultury, Minist</w:t>
      </w:r>
      <w:r>
        <w:t>erstva financí, Nejvyššího kontrolního úřadu, Finančního úřadu a dalších oprávněných orgánů státní správy) do jeho k podnikání užívaných objektů a na jeho k podnikání užívané pozemky k ověřování plnění podmínek této Smlouvy, a to po dobu 10 let od uzavření</w:t>
      </w:r>
      <w:r>
        <w:t xml:space="preserve"> této Smlouvy.</w:t>
      </w: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left="920" w:hanging="380"/>
        <w:jc w:val="both"/>
      </w:pPr>
      <w:r>
        <w:t>Dodavatel se zavazuje mít po celou dobu trvání účinnosti této Smlouvy uzavřenou pojistnou smlouvu mezi pojišťovnou a dodavatelem v postavení pojištěného na pojištění profesní odpovědnosti s jednorázovým pojistným plněním minimálně ve výši 15</w:t>
      </w:r>
      <w:r>
        <w:t xml:space="preserve">.000.000,- Kč. Dodavatel se zavazuje zajistit platnost a účinnost uvedené pojistné smlouvy po celou dobu trvání jeho závazků z této Smlouvy. Náklady na pojištění nese dodavatel a jsou zahrnuty ve sjednané ceně dle této Smlouvy. Originál nebo ověřená kopie </w:t>
      </w:r>
      <w:r>
        <w:t xml:space="preserve">dokladu o uzavření pojistné smlouvy je přílohou č. 2 </w:t>
      </w:r>
      <w:proofErr w:type="gramStart"/>
      <w:r>
        <w:t>této</w:t>
      </w:r>
      <w:proofErr w:type="gramEnd"/>
      <w:r>
        <w:t xml:space="preserve"> Smlouvy. Dodavatel se zavazuje uplatnit veškeré pojistné události související s plněním předmětu této Smlouvy u pojišťovny bez zbytečného odkladu.</w:t>
      </w:r>
    </w:p>
    <w:p w:rsidR="009E1744" w:rsidRDefault="006E43A9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spacing w:after="500"/>
        <w:ind w:left="920" w:hanging="380"/>
        <w:jc w:val="both"/>
      </w:pPr>
      <w:r>
        <w:t>Dodavatel je povinen průběžně informovat zadavatele</w:t>
      </w:r>
      <w:r>
        <w:t xml:space="preserve"> o aktuálním stavu prováděné činnosti podle této Smlouvy a za tímto účelem organizovat pracovní porady. Zjednání dodavatel vyhotovuje zápis/záznam, který po potvrzení zadavatelem obdrží zadavatel a dodavatel.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4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Povinnosti zadavatele</w:t>
      </w:r>
      <w:bookmarkEnd w:id="6"/>
      <w:bookmarkEnd w:id="7"/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65"/>
        </w:tabs>
        <w:spacing w:line="259" w:lineRule="auto"/>
        <w:ind w:left="920" w:hanging="380"/>
        <w:jc w:val="both"/>
      </w:pPr>
      <w:r>
        <w:t xml:space="preserve">Zadavatel se </w:t>
      </w:r>
      <w:r>
        <w:t>zavazuje zaplatit dodavateli za řádně splněný předmět Smlouvy odměnu ve výši a ve lhůtě sjednané dle této Smlouvy.</w:t>
      </w:r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65"/>
        </w:tabs>
        <w:spacing w:line="262" w:lineRule="auto"/>
        <w:ind w:left="920" w:hanging="380"/>
        <w:jc w:val="both"/>
      </w:pPr>
      <w:r>
        <w:t>Zadavatel se zavazuje poskytnout dodavateli veškerou součinnost potřebnou pro řádné plnění předmětu této Smlouvy, zejména včas předat dodavat</w:t>
      </w:r>
      <w:r>
        <w:t>eli na jeho písemné vyžádání veškeré podklady, dokumenty a listiny, jakož i informace a vysvětlení nezbytné k řádnému plnění předmětu této Smlouvy, které by zadavatel měl mít k dispozici při obvyklém běhu věcí. Není-li termín pro poskytnutí konkrétního úko</w:t>
      </w:r>
      <w:r>
        <w:t>nu součinnosti zadavatele sjednán touto Smlouvou, má se za to, že úkon součinnosti byl zadavatelem realizován včas, pokud není znemožněno plnění úkonů dodavatele dle této Smlouvy. Obvyklá lhůta</w:t>
      </w:r>
      <w:r w:rsidR="00184A77">
        <w:t xml:space="preserve"> </w:t>
      </w:r>
      <w:r>
        <w:t>pro poskytnutí konkrétního úkonu součinnosti je 20 dní.</w:t>
      </w:r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65"/>
        </w:tabs>
        <w:ind w:left="920" w:hanging="380"/>
        <w:jc w:val="both"/>
      </w:pPr>
      <w:r>
        <w:t>V průbě</w:t>
      </w:r>
      <w:r>
        <w:t>hu řízení se soutěžním dialogem pro zadání předmětné veřejné zakázky VZ - Transformace a rekonstrukce Veletržního paláce se zadavatel zavazuje zajistit dodavateli součinnost ve vztahu k předmětu předmětné veřejné zakázky prostřednictvím odborně způsobilých</w:t>
      </w:r>
      <w:r>
        <w:t xml:space="preserve"> osob pro zpracování odpovědí na žádosti uchazečů o poskytnutí dodatečných informací, jakož i pro zpracování případného rozhodnutí o námitkách a vyjádření k Úřadu pro ochranu hospodářské soutěže, Finančnímu úřadu aj.,</w:t>
      </w:r>
      <w:r>
        <w:rPr>
          <w:i w:val="0"/>
          <w:iCs w:val="0"/>
          <w:sz w:val="22"/>
          <w:szCs w:val="22"/>
        </w:rPr>
        <w:t xml:space="preserve"> v </w:t>
      </w:r>
      <w:r>
        <w:t>případě řízení o přezkoumání úkonů z</w:t>
      </w:r>
      <w:r>
        <w:t>adavatele.</w:t>
      </w:r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65"/>
        </w:tabs>
        <w:ind w:left="920" w:hanging="380"/>
        <w:jc w:val="both"/>
      </w:pPr>
      <w:r>
        <w:t>Zadavatel se zavazuje předat dodavateli námitky uchazečů, které obdrží, ve lhůtě 5 pracovních dnů od převzetí námitek.</w:t>
      </w:r>
    </w:p>
    <w:p w:rsidR="00184A77" w:rsidRDefault="00184A77" w:rsidP="00184A77">
      <w:pPr>
        <w:pStyle w:val="Zkladntext1"/>
        <w:shd w:val="clear" w:color="auto" w:fill="auto"/>
        <w:tabs>
          <w:tab w:val="left" w:pos="965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65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65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65"/>
        </w:tabs>
        <w:jc w:val="both"/>
      </w:pPr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58"/>
        </w:tabs>
        <w:spacing w:line="266" w:lineRule="auto"/>
        <w:ind w:left="940" w:hanging="400"/>
        <w:jc w:val="both"/>
      </w:pPr>
      <w:r>
        <w:t>V případě, že zadavatel rozhodne o zrušení řízení se soutěžním dialogem pro zadání předmětné veřejné zakázky VZ - Transformace</w:t>
      </w:r>
      <w:r>
        <w:t xml:space="preserve"> a rekonstrukce Veletržního palác, zavazuje se o této skutečnosti bezodkladně písemně informovat dodavatele.</w:t>
      </w:r>
    </w:p>
    <w:p w:rsidR="009E1744" w:rsidRDefault="006E43A9">
      <w:pPr>
        <w:pStyle w:val="Zkladntext1"/>
        <w:numPr>
          <w:ilvl w:val="0"/>
          <w:numId w:val="9"/>
        </w:numPr>
        <w:shd w:val="clear" w:color="auto" w:fill="auto"/>
        <w:tabs>
          <w:tab w:val="left" w:pos="958"/>
        </w:tabs>
        <w:spacing w:after="500"/>
        <w:ind w:left="940" w:hanging="400"/>
        <w:jc w:val="both"/>
      </w:pPr>
      <w:r>
        <w:t>Zadavatel je povinen dodavatele písemně informovat o všech změnách týkajících se předmětu Smlouvy, které mu budou známy a které mohou ovlivnit výsl</w:t>
      </w:r>
      <w:r>
        <w:t>edek činnosti, popř. vést k předčasnému ukončení smluvního vztahu.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5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Doba plnění</w:t>
      </w:r>
      <w:bookmarkEnd w:id="8"/>
      <w:bookmarkEnd w:id="9"/>
    </w:p>
    <w:p w:rsidR="009E1744" w:rsidRDefault="006E43A9">
      <w:pPr>
        <w:pStyle w:val="Zkladntext1"/>
        <w:numPr>
          <w:ilvl w:val="0"/>
          <w:numId w:val="10"/>
        </w:numPr>
        <w:shd w:val="clear" w:color="auto" w:fill="auto"/>
        <w:tabs>
          <w:tab w:val="left" w:pos="958"/>
        </w:tabs>
        <w:ind w:left="940" w:hanging="400"/>
        <w:jc w:val="both"/>
      </w:pPr>
      <w:r>
        <w:t xml:space="preserve">Dodavatel je povinen zahájit poskytování služeb podle této Smlouvy bez zbytečného odkladu po nabytí účinnosti této Smlouvy, přičemž ukončení řízení se soutěžním </w:t>
      </w:r>
      <w:r>
        <w:t>dialogem pro zadání předmětné veřejné zakázky NGP-předprojektová příprav stavby, Transformace a rekonstrukce Veletržního paláce se předpokládá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nejkratší možné lhůtě vyplývající ze ZZVZ. Dodavatel se zavazuje činit veškeré úkony nezbytné ke splnění svých </w:t>
      </w:r>
      <w:r>
        <w:t>závazků z této Smlouvy vůči zadavateli v termínech, které zadavateli umožní postupovat v řízení se soutěžním dialogem v souladu se ZZVZ a dalšími uvedenými pravidly.</w:t>
      </w:r>
    </w:p>
    <w:p w:rsidR="009E1744" w:rsidRDefault="006E43A9">
      <w:pPr>
        <w:pStyle w:val="Zkladntext1"/>
        <w:numPr>
          <w:ilvl w:val="0"/>
          <w:numId w:val="10"/>
        </w:numPr>
        <w:shd w:val="clear" w:color="auto" w:fill="auto"/>
        <w:tabs>
          <w:tab w:val="left" w:pos="958"/>
        </w:tabs>
        <w:ind w:left="940" w:hanging="400"/>
        <w:jc w:val="both"/>
      </w:pPr>
      <w:r>
        <w:t xml:space="preserve">Smluvní strany předpokládají, že činnosti dodavatele budou ukončovány postupně po částech </w:t>
      </w:r>
      <w:r>
        <w:t>ve čtyřech fázích v následujících termínech:</w:t>
      </w:r>
    </w:p>
    <w:p w:rsidR="009E1744" w:rsidRDefault="006E43A9">
      <w:pPr>
        <w:pStyle w:val="Zkladntext1"/>
        <w:numPr>
          <w:ilvl w:val="0"/>
          <w:numId w:val="11"/>
        </w:numPr>
        <w:shd w:val="clear" w:color="auto" w:fill="auto"/>
        <w:tabs>
          <w:tab w:val="left" w:pos="1389"/>
        </w:tabs>
        <w:ind w:firstLine="900"/>
        <w:jc w:val="both"/>
      </w:pPr>
      <w:r>
        <w:t>ukončení přípravných prací, zpracování zadávací dokumentace do 30. 11. 2019</w:t>
      </w:r>
    </w:p>
    <w:p w:rsidR="009E1744" w:rsidRDefault="006E43A9">
      <w:pPr>
        <w:pStyle w:val="Zkladntext1"/>
        <w:numPr>
          <w:ilvl w:val="0"/>
          <w:numId w:val="11"/>
        </w:numPr>
        <w:shd w:val="clear" w:color="auto" w:fill="auto"/>
        <w:tabs>
          <w:tab w:val="left" w:pos="1389"/>
        </w:tabs>
        <w:ind w:left="1380" w:hanging="480"/>
        <w:jc w:val="both"/>
      </w:pPr>
      <w:r>
        <w:t>schválení zadávací dokumentace komisí, CKA a zadavatelem a zahájení řízení se soutěžním dialogem do 31. 5. 2020</w:t>
      </w:r>
    </w:p>
    <w:p w:rsidR="009E1744" w:rsidRDefault="006E43A9">
      <w:pPr>
        <w:pStyle w:val="Zkladntext1"/>
        <w:numPr>
          <w:ilvl w:val="0"/>
          <w:numId w:val="11"/>
        </w:numPr>
        <w:shd w:val="clear" w:color="auto" w:fill="auto"/>
        <w:tabs>
          <w:tab w:val="left" w:pos="1389"/>
        </w:tabs>
        <w:spacing w:after="500"/>
        <w:ind w:firstLine="900"/>
        <w:jc w:val="both"/>
      </w:pPr>
      <w:r>
        <w:t>organizace průběhu říze</w:t>
      </w:r>
      <w:r>
        <w:t>ní se soutěžním dialogem 15. 12. 2020</w:t>
      </w:r>
    </w:p>
    <w:p w:rsidR="009E1744" w:rsidRDefault="006E43A9">
      <w:pPr>
        <w:pStyle w:val="Zkladntext1"/>
        <w:numPr>
          <w:ilvl w:val="0"/>
          <w:numId w:val="11"/>
        </w:numPr>
        <w:shd w:val="clear" w:color="auto" w:fill="auto"/>
        <w:tabs>
          <w:tab w:val="left" w:pos="1389"/>
        </w:tabs>
        <w:spacing w:after="740"/>
        <w:ind w:firstLine="900"/>
        <w:jc w:val="both"/>
      </w:pPr>
      <w:r>
        <w:t>výběr dodavatele</w:t>
      </w:r>
      <w:r>
        <w:rPr>
          <w:i w:val="0"/>
          <w:iCs w:val="0"/>
          <w:sz w:val="22"/>
          <w:szCs w:val="22"/>
        </w:rPr>
        <w:t xml:space="preserve"> v </w:t>
      </w:r>
      <w:r>
        <w:t>řízení se soutěžním dialogem 15. 2. 2021</w:t>
      </w:r>
    </w:p>
    <w:p w:rsidR="009E1744" w:rsidRDefault="006E43A9">
      <w:pPr>
        <w:pStyle w:val="Zkladntext1"/>
        <w:numPr>
          <w:ilvl w:val="0"/>
          <w:numId w:val="10"/>
        </w:numPr>
        <w:shd w:val="clear" w:color="auto" w:fill="auto"/>
        <w:tabs>
          <w:tab w:val="left" w:pos="958"/>
        </w:tabs>
        <w:ind w:left="940" w:hanging="400"/>
        <w:jc w:val="both"/>
      </w:pPr>
      <w:r>
        <w:t xml:space="preserve">Dodavatel nebude v prodlení splněním svých závazků vyplývajících z této Smlouvy, pokud prokazatelně nebude moci plnit své závazky z důvodů prodlení na straně </w:t>
      </w:r>
      <w:r>
        <w:t>zadavatele. Zadavatel pak není v prodlení s plněním svých závazků vyplývajících z této Smlouvy, pokud prokazatelně nemůže své závazky plnit z důvodů prodlení na straně dodavatele, kdy takovým prodlením je i nepředání upozornění podle ustanovení odst. 2.4 t</w:t>
      </w:r>
      <w:r>
        <w:t>éto Smlouvy.</w:t>
      </w:r>
    </w:p>
    <w:p w:rsidR="009E1744" w:rsidRDefault="006E43A9">
      <w:pPr>
        <w:pStyle w:val="Zkladntext1"/>
        <w:numPr>
          <w:ilvl w:val="0"/>
          <w:numId w:val="10"/>
        </w:numPr>
        <w:shd w:val="clear" w:color="auto" w:fill="auto"/>
        <w:tabs>
          <w:tab w:val="left" w:pos="958"/>
        </w:tabs>
        <w:spacing w:line="262" w:lineRule="auto"/>
        <w:ind w:left="940" w:hanging="400"/>
        <w:jc w:val="both"/>
      </w:pPr>
      <w:r>
        <w:t>Pokud bude zadavatel v prodlení s plněním svých povinností podle této Smlouvy,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důsledku čehož nebude dodavatel moci provést předmět Smlouvy v ujednaném čase, pak se termíny plnění dle odst. 5.2 Smlouvy posouvají o dobu, po kterou je </w:t>
      </w:r>
      <w:r>
        <w:t>zadavatel v prodlení (doba prodlení musí být zdokumen</w:t>
      </w:r>
      <w:r>
        <w:t>tována</w:t>
      </w:r>
      <w:r>
        <w:rPr>
          <w:i w:val="0"/>
          <w:iCs w:val="0"/>
          <w:sz w:val="22"/>
          <w:szCs w:val="22"/>
        </w:rPr>
        <w:t xml:space="preserve"> v </w:t>
      </w:r>
      <w:r>
        <w:t>příslušném zápisu o projednání prodlení).</w:t>
      </w:r>
    </w:p>
    <w:p w:rsidR="009E1744" w:rsidRDefault="006E43A9">
      <w:pPr>
        <w:pStyle w:val="Zkladntext1"/>
        <w:numPr>
          <w:ilvl w:val="0"/>
          <w:numId w:val="10"/>
        </w:numPr>
        <w:shd w:val="clear" w:color="auto" w:fill="auto"/>
        <w:tabs>
          <w:tab w:val="left" w:pos="958"/>
        </w:tabs>
        <w:ind w:left="940" w:hanging="400"/>
        <w:jc w:val="both"/>
      </w:pPr>
      <w:r>
        <w:t xml:space="preserve">Zadavatel a dodavatel se zavazují uzavřít dodatek k této Smlouvě, nebude-li dodavatel objektivně schopen provést předmět této Smlouvy v ujednaném čase </w:t>
      </w:r>
      <w:r>
        <w:t>plnění z důvodu tzv. vyšší moci.</w:t>
      </w:r>
    </w:p>
    <w:p w:rsidR="00184A77" w:rsidRDefault="00184A77" w:rsidP="00184A77">
      <w:pPr>
        <w:pStyle w:val="Zkladntext1"/>
        <w:shd w:val="clear" w:color="auto" w:fill="auto"/>
        <w:tabs>
          <w:tab w:val="left" w:pos="958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58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58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58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58"/>
        </w:tabs>
        <w:jc w:val="both"/>
      </w:pP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6</w:t>
      </w:r>
    </w:p>
    <w:p w:rsidR="009E1744" w:rsidRDefault="006E43A9">
      <w:pPr>
        <w:pStyle w:val="Zkladntext1"/>
        <w:shd w:val="clear" w:color="auto" w:fill="auto"/>
        <w:jc w:val="center"/>
      </w:pPr>
      <w:r>
        <w:rPr>
          <w:b/>
          <w:bCs/>
        </w:rPr>
        <w:t>Cena</w:t>
      </w:r>
    </w:p>
    <w:p w:rsidR="009E1744" w:rsidRDefault="006E43A9">
      <w:pPr>
        <w:pStyle w:val="Zkladntext1"/>
        <w:numPr>
          <w:ilvl w:val="0"/>
          <w:numId w:val="12"/>
        </w:numPr>
        <w:shd w:val="clear" w:color="auto" w:fill="auto"/>
        <w:tabs>
          <w:tab w:val="left" w:pos="947"/>
        </w:tabs>
        <w:spacing w:line="240" w:lineRule="auto"/>
        <w:ind w:left="900" w:hanging="380"/>
        <w:jc w:val="both"/>
      </w:pPr>
      <w:r>
        <w:t>Právo na zaplacení ceny vzniká řádným splněním předmětu této Smlouvy dle čl. 2 Smlouvy a jeho ukončením</w:t>
      </w:r>
      <w:r>
        <w:rPr>
          <w:i w:val="0"/>
          <w:iCs w:val="0"/>
          <w:sz w:val="22"/>
          <w:szCs w:val="22"/>
        </w:rPr>
        <w:t xml:space="preserve"> v </w:t>
      </w:r>
      <w:r>
        <w:t>čase ujednaném dle čl. 5 Smlouvy.</w:t>
      </w:r>
    </w:p>
    <w:p w:rsidR="009E1744" w:rsidRDefault="006E43A9">
      <w:pPr>
        <w:pStyle w:val="Zkladntext1"/>
        <w:numPr>
          <w:ilvl w:val="0"/>
          <w:numId w:val="12"/>
        </w:numPr>
        <w:shd w:val="clear" w:color="auto" w:fill="auto"/>
        <w:tabs>
          <w:tab w:val="left" w:pos="965"/>
        </w:tabs>
        <w:ind w:firstLine="520"/>
        <w:jc w:val="both"/>
      </w:pPr>
      <w:r>
        <w:t>Cena je sjednána dohodou zadavatele a dodavatele, a to takto:</w:t>
      </w:r>
    </w:p>
    <w:p w:rsidR="009E1744" w:rsidRDefault="006E43A9">
      <w:pPr>
        <w:pStyle w:val="Zkladntext1"/>
        <w:shd w:val="clear" w:color="auto" w:fill="auto"/>
        <w:tabs>
          <w:tab w:val="left" w:pos="6576"/>
        </w:tabs>
        <w:spacing w:after="0"/>
        <w:ind w:firstLine="900"/>
        <w:jc w:val="both"/>
      </w:pPr>
      <w:r>
        <w:t xml:space="preserve">Cena </w:t>
      </w:r>
      <w:r>
        <w:t>bez DPH (Kč):</w:t>
      </w:r>
      <w:r>
        <w:tab/>
        <w:t>1.600.000,- Kč</w:t>
      </w:r>
    </w:p>
    <w:p w:rsidR="009E1744" w:rsidRDefault="006E43A9">
      <w:pPr>
        <w:pStyle w:val="Zkladntext1"/>
        <w:shd w:val="clear" w:color="auto" w:fill="auto"/>
        <w:tabs>
          <w:tab w:val="left" w:pos="6576"/>
        </w:tabs>
        <w:spacing w:after="0"/>
        <w:ind w:firstLine="900"/>
        <w:jc w:val="both"/>
      </w:pPr>
      <w:r>
        <w:t>sazba DPH dle platných právních předpisů (%):</w:t>
      </w:r>
      <w:r>
        <w:tab/>
        <w:t>21 %</w:t>
      </w:r>
    </w:p>
    <w:p w:rsidR="009E1744" w:rsidRDefault="006E43A9">
      <w:pPr>
        <w:pStyle w:val="Zkladntext1"/>
        <w:shd w:val="clear" w:color="auto" w:fill="auto"/>
        <w:tabs>
          <w:tab w:val="left" w:pos="6576"/>
        </w:tabs>
        <w:spacing w:after="0"/>
        <w:ind w:firstLine="900"/>
        <w:jc w:val="both"/>
      </w:pPr>
      <w:r>
        <w:t>výše DPH (Kč):</w:t>
      </w:r>
      <w:r>
        <w:tab/>
        <w:t>336.000,- Kč</w:t>
      </w:r>
    </w:p>
    <w:p w:rsidR="009E1744" w:rsidRDefault="006E43A9">
      <w:pPr>
        <w:pStyle w:val="Zkladntext1"/>
        <w:shd w:val="clear" w:color="auto" w:fill="auto"/>
        <w:tabs>
          <w:tab w:val="left" w:pos="6576"/>
        </w:tabs>
        <w:ind w:firstLine="900"/>
        <w:jc w:val="both"/>
      </w:pPr>
      <w:r>
        <w:rPr>
          <w:b/>
          <w:bCs/>
        </w:rPr>
        <w:t>celková cena včetně DPH (Kč):</w:t>
      </w:r>
      <w:r>
        <w:rPr>
          <w:b/>
          <w:bCs/>
        </w:rPr>
        <w:tab/>
        <w:t>1.936.000,- Kč</w:t>
      </w:r>
    </w:p>
    <w:p w:rsidR="009E1744" w:rsidRDefault="006E43A9">
      <w:pPr>
        <w:pStyle w:val="Zkladntext1"/>
        <w:shd w:val="clear" w:color="auto" w:fill="auto"/>
        <w:ind w:firstLine="900"/>
        <w:jc w:val="both"/>
      </w:pPr>
      <w:r>
        <w:t>(slovy: jeden milion devět set třicet šest tisíc korun českých včetně DPH)</w:t>
      </w:r>
    </w:p>
    <w:p w:rsidR="009E1744" w:rsidRDefault="006E43A9">
      <w:pPr>
        <w:pStyle w:val="Zkladntext1"/>
        <w:shd w:val="clear" w:color="auto" w:fill="auto"/>
        <w:ind w:firstLine="900"/>
        <w:jc w:val="both"/>
      </w:pPr>
      <w:r>
        <w:t xml:space="preserve">(dále jen „ </w:t>
      </w:r>
      <w:r>
        <w:rPr>
          <w:b/>
          <w:bCs/>
        </w:rPr>
        <w:t>Celková sjednaná</w:t>
      </w:r>
      <w:r>
        <w:rPr>
          <w:b/>
          <w:bCs/>
        </w:rPr>
        <w:t xml:space="preserve"> cena “).</w:t>
      </w:r>
    </w:p>
    <w:p w:rsidR="009E1744" w:rsidRDefault="006E43A9">
      <w:pPr>
        <w:pStyle w:val="Zkladntext1"/>
        <w:numPr>
          <w:ilvl w:val="0"/>
          <w:numId w:val="12"/>
        </w:numPr>
        <w:shd w:val="clear" w:color="auto" w:fill="auto"/>
        <w:tabs>
          <w:tab w:val="left" w:pos="965"/>
        </w:tabs>
        <w:spacing w:after="0"/>
        <w:ind w:left="900" w:hanging="380"/>
        <w:jc w:val="both"/>
      </w:pPr>
      <w:r>
        <w:t>Celková sjednaná cena podle odst. 6.2 této Smlouvy bude postupně zadavatelem zaplacena dodavateli ve čtyřech splátkách vždy po řádném splnění stanovené části činností v dohodnutém termínu podle odst. 5.2 této Smlouvy:</w:t>
      </w:r>
    </w:p>
    <w:p w:rsidR="009E1744" w:rsidRDefault="006E43A9">
      <w:pPr>
        <w:pStyle w:val="Zkladntext1"/>
        <w:numPr>
          <w:ilvl w:val="0"/>
          <w:numId w:val="13"/>
        </w:numPr>
        <w:shd w:val="clear" w:color="auto" w:fill="auto"/>
        <w:tabs>
          <w:tab w:val="left" w:pos="1295"/>
        </w:tabs>
        <w:spacing w:after="0"/>
        <w:ind w:left="1180" w:hanging="240"/>
        <w:jc w:val="both"/>
      </w:pPr>
      <w:r>
        <w:t xml:space="preserve">po ukončení přípravných </w:t>
      </w:r>
      <w:r>
        <w:t>prací, zpracování zadávací dokumentace vystaví dodavatel dílčí fakturu na částku ve výši 820.000,- KČ (slovy: osm set dvacet tisíc korun českých) bez DPH, tj. 992.200,- Kč (slovy: devět set devadesát dva tisíce dvě stě korun českých) s DPH;</w:t>
      </w:r>
    </w:p>
    <w:p w:rsidR="009E1744" w:rsidRDefault="006E43A9">
      <w:pPr>
        <w:pStyle w:val="Zkladntext1"/>
        <w:numPr>
          <w:ilvl w:val="0"/>
          <w:numId w:val="13"/>
        </w:numPr>
        <w:shd w:val="clear" w:color="auto" w:fill="auto"/>
        <w:tabs>
          <w:tab w:val="left" w:pos="1295"/>
        </w:tabs>
        <w:spacing w:after="0"/>
        <w:ind w:left="1180" w:hanging="240"/>
        <w:jc w:val="both"/>
      </w:pPr>
      <w:r>
        <w:t>po schválení za</w:t>
      </w:r>
      <w:r>
        <w:t>dávací dokumentace komisí, CKA a zadavatelem a zahájení řízení se soutěžním dialogem vystaví dodavatel dílčí fakturu na částku ve výši 230.000,- Kč (slovy: dvě stě třicet tisíc korun českých) bez DPH, tj. 278.300,- Kč (slovy: dvě stě sedmdesát osm tisíc tř</w:t>
      </w:r>
      <w:r>
        <w:t>i sta korun českých) s DPH;</w:t>
      </w:r>
    </w:p>
    <w:p w:rsidR="009E1744" w:rsidRDefault="006E43A9">
      <w:pPr>
        <w:pStyle w:val="Zkladntext1"/>
        <w:numPr>
          <w:ilvl w:val="0"/>
          <w:numId w:val="13"/>
        </w:numPr>
        <w:shd w:val="clear" w:color="auto" w:fill="auto"/>
        <w:tabs>
          <w:tab w:val="left" w:pos="1295"/>
        </w:tabs>
        <w:spacing w:after="0"/>
        <w:ind w:left="1180" w:hanging="240"/>
        <w:jc w:val="both"/>
      </w:pPr>
      <w:r>
        <w:t>za řádnou organizaci průběhu řízení se soutěžním dialogem vystaví dodavatel dílčí fakturu na částku ve výši 495.000,- Kč (slovy: čtyři sta devadesát pět tisíc korun českých) bez DPH, tj. 598.950,- Kč (slovy: pět set devadesát os</w:t>
      </w:r>
      <w:r>
        <w:t>m tisíc devět set padesát korun Českých) s DPH;</w:t>
      </w:r>
    </w:p>
    <w:p w:rsidR="009E1744" w:rsidRDefault="006E43A9">
      <w:pPr>
        <w:pStyle w:val="Zkladntext1"/>
        <w:numPr>
          <w:ilvl w:val="0"/>
          <w:numId w:val="13"/>
        </w:numPr>
        <w:shd w:val="clear" w:color="auto" w:fill="auto"/>
        <w:tabs>
          <w:tab w:val="left" w:pos="1295"/>
        </w:tabs>
        <w:ind w:left="1180" w:hanging="240"/>
        <w:jc w:val="both"/>
      </w:pPr>
      <w:r>
        <w:t>po výběru dodavatele</w:t>
      </w:r>
      <w:r>
        <w:rPr>
          <w:i w:val="0"/>
          <w:iCs w:val="0"/>
          <w:sz w:val="22"/>
          <w:szCs w:val="22"/>
        </w:rPr>
        <w:t xml:space="preserve"> v </w:t>
      </w:r>
      <w:r>
        <w:t>řízení se soutěžním dialogem dodavatel vystaví fakturu na částku ve výši 55.000,- Kč (slovy: padesát pět tisíc korun českých) bez DPH, tj. 66.550,- Kč (slovy: šedesát šest tisíc pět set</w:t>
      </w:r>
      <w:r>
        <w:t xml:space="preserve"> padesát korun českých) s DPH;</w:t>
      </w:r>
    </w:p>
    <w:p w:rsidR="009E1744" w:rsidRDefault="006E43A9">
      <w:pPr>
        <w:pStyle w:val="Zkladntext1"/>
        <w:numPr>
          <w:ilvl w:val="0"/>
          <w:numId w:val="12"/>
        </w:numPr>
        <w:shd w:val="clear" w:color="auto" w:fill="auto"/>
        <w:tabs>
          <w:tab w:val="left" w:pos="968"/>
        </w:tabs>
        <w:ind w:left="900" w:hanging="380"/>
        <w:jc w:val="both"/>
      </w:pPr>
      <w:r>
        <w:t>Celková sjednaná cena je dohodnuta jako cena nejvýše přípustná a závazná po celou dobu platnosti a účinnosti této Smlouvy a jsou v ní zahrnuty veškeré přímé i nepřímé náklady spojené s poskytováním příslušných služeb. Změna v</w:t>
      </w:r>
      <w:r>
        <w:t>ýše ceny je možná pouze v případě změny sazby DPH a to výlučně o částku odpovídající výši změny DPH.</w:t>
      </w:r>
    </w:p>
    <w:p w:rsidR="009E1744" w:rsidRDefault="006E43A9">
      <w:pPr>
        <w:pStyle w:val="Zkladntext1"/>
        <w:numPr>
          <w:ilvl w:val="0"/>
          <w:numId w:val="12"/>
        </w:numPr>
        <w:shd w:val="clear" w:color="auto" w:fill="auto"/>
        <w:tabs>
          <w:tab w:val="left" w:pos="968"/>
        </w:tabs>
        <w:ind w:left="900" w:hanging="380"/>
        <w:jc w:val="both"/>
      </w:pPr>
      <w:r>
        <w:t>V souladu s předchozím odstavcem zahrnuje celková sjednaná cena veškeré náklady dodavatele, zejména: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266" w:lineRule="auto"/>
        <w:ind w:firstLine="900"/>
        <w:jc w:val="both"/>
      </w:pPr>
      <w:r>
        <w:t>cestovní náklady;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266" w:lineRule="auto"/>
        <w:ind w:firstLine="900"/>
        <w:jc w:val="both"/>
      </w:pPr>
      <w:r>
        <w:t>telekomunikační a poštovní náklady;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266" w:lineRule="auto"/>
        <w:ind w:firstLine="900"/>
        <w:jc w:val="both"/>
      </w:pPr>
      <w:r>
        <w:t>mzdové náklady zaměstnanců dodavatele;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240" w:lineRule="auto"/>
        <w:ind w:firstLine="900"/>
        <w:jc w:val="both"/>
      </w:pPr>
      <w:r>
        <w:t>zveřejnění</w:t>
      </w:r>
      <w:r>
        <w:rPr>
          <w:i w:val="0"/>
          <w:iCs w:val="0"/>
          <w:sz w:val="22"/>
          <w:szCs w:val="22"/>
        </w:rPr>
        <w:t xml:space="preserve"> v </w:t>
      </w:r>
      <w:r>
        <w:t>informačním systému veřejných zakázek;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58"/>
        </w:tabs>
        <w:spacing w:after="0" w:line="266" w:lineRule="auto"/>
        <w:ind w:firstLine="900"/>
        <w:jc w:val="both"/>
      </w:pPr>
      <w:r>
        <w:t>jiné náklady nezbytné pro řádný průběh zadávacího řízení;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1298"/>
        </w:tabs>
        <w:spacing w:line="266" w:lineRule="auto"/>
        <w:ind w:left="1180" w:hanging="240"/>
        <w:jc w:val="both"/>
      </w:pPr>
      <w:r>
        <w:t>zpracování podkladů k podaným námitkám, návrhům a stanoviskům pro orgány dohledu, atd.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7</w:t>
      </w:r>
    </w:p>
    <w:p w:rsidR="009E1744" w:rsidRDefault="006E43A9">
      <w:pPr>
        <w:pStyle w:val="Zkladntext1"/>
        <w:shd w:val="clear" w:color="auto" w:fill="auto"/>
        <w:jc w:val="center"/>
      </w:pPr>
      <w:r>
        <w:rPr>
          <w:b/>
          <w:bCs/>
        </w:rPr>
        <w:t xml:space="preserve">Platební </w:t>
      </w:r>
      <w:r>
        <w:rPr>
          <w:b/>
          <w:bCs/>
        </w:rPr>
        <w:t>podmínky</w:t>
      </w: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921"/>
        </w:tabs>
        <w:ind w:left="800" w:hanging="400"/>
        <w:jc w:val="both"/>
      </w:pPr>
      <w:r>
        <w:t>Zadavatel se zavazuje uhradit celkovou sjednanou cenu dle této Smlouvy vždy na základě</w:t>
      </w:r>
      <w:r w:rsidR="00184A77">
        <w:t xml:space="preserve"> </w:t>
      </w:r>
      <w:r>
        <w:t>faktury, kterou je dodavatel oprávněn vystavit zadavateli po ukončení činností dle odst. 6.3 této Smlouvy.</w:t>
      </w:r>
    </w:p>
    <w:p w:rsidR="00184A77" w:rsidRDefault="00184A77" w:rsidP="00184A77">
      <w:pPr>
        <w:pStyle w:val="Zkladntext1"/>
        <w:shd w:val="clear" w:color="auto" w:fill="auto"/>
        <w:tabs>
          <w:tab w:val="left" w:pos="921"/>
        </w:tabs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921"/>
        </w:tabs>
        <w:jc w:val="both"/>
      </w:pP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554"/>
        </w:tabs>
        <w:spacing w:line="254" w:lineRule="auto"/>
        <w:ind w:left="500" w:hanging="360"/>
        <w:jc w:val="both"/>
      </w:pPr>
      <w:r>
        <w:t>Adresa pro zaslán</w:t>
      </w:r>
      <w:r w:rsidR="00184A77">
        <w:t>í</w:t>
      </w:r>
      <w:r>
        <w:t xml:space="preserve"> faktury je sídlo zadavatele. </w:t>
      </w:r>
      <w:r>
        <w:t>Faktury budou zaslány též</w:t>
      </w:r>
      <w:r>
        <w:rPr>
          <w:i w:val="0"/>
          <w:iCs w:val="0"/>
          <w:sz w:val="22"/>
          <w:szCs w:val="22"/>
        </w:rPr>
        <w:t xml:space="preserve"> v </w:t>
      </w:r>
      <w:r>
        <w:t xml:space="preserve">elektronické podobě na adresu: </w:t>
      </w:r>
      <w:r>
        <w:rPr>
          <w:color w:val="154E96"/>
          <w:u w:val="single"/>
        </w:rPr>
        <w:t>faktury</w:t>
      </w:r>
      <w:r w:rsidR="00184A77">
        <w:rPr>
          <w:color w:val="154E96"/>
          <w:u w:val="single"/>
        </w:rPr>
        <w:t>@ngprague.</w:t>
      </w:r>
      <w:r>
        <w:rPr>
          <w:color w:val="154E96"/>
          <w:u w:val="single"/>
        </w:rPr>
        <w:t>cz</w:t>
      </w:r>
      <w:r>
        <w:rPr>
          <w:color w:val="154E96"/>
        </w:rPr>
        <w:t>.</w:t>
      </w: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554"/>
        </w:tabs>
        <w:spacing w:line="259" w:lineRule="auto"/>
        <w:ind w:left="500" w:hanging="360"/>
        <w:jc w:val="both"/>
      </w:pPr>
      <w:r>
        <w:t>Faktura musí obsahovat náležitosti předpokládané zákonem č. 235/2004 Sb., o dani z přidané hodnoty, a vždy následující náležitosti:</w:t>
      </w:r>
    </w:p>
    <w:p w:rsidR="009E1744" w:rsidRDefault="006E43A9">
      <w:pPr>
        <w:pStyle w:val="Zkladntext1"/>
        <w:numPr>
          <w:ilvl w:val="0"/>
          <w:numId w:val="16"/>
        </w:numPr>
        <w:shd w:val="clear" w:color="auto" w:fill="auto"/>
        <w:tabs>
          <w:tab w:val="left" w:pos="838"/>
        </w:tabs>
        <w:spacing w:after="0" w:line="259" w:lineRule="auto"/>
        <w:ind w:firstLine="500"/>
        <w:jc w:val="both"/>
      </w:pPr>
      <w:r>
        <w:t xml:space="preserve">označení zadavatele a dodavatele, sídlo, </w:t>
      </w:r>
      <w:r>
        <w:t>IČ, DIC,</w:t>
      </w:r>
    </w:p>
    <w:p w:rsidR="009E1744" w:rsidRDefault="006E43A9">
      <w:pPr>
        <w:pStyle w:val="Zkladntext1"/>
        <w:numPr>
          <w:ilvl w:val="0"/>
          <w:numId w:val="16"/>
        </w:numPr>
        <w:shd w:val="clear" w:color="auto" w:fill="auto"/>
        <w:tabs>
          <w:tab w:val="left" w:pos="838"/>
        </w:tabs>
        <w:spacing w:after="0" w:line="259" w:lineRule="auto"/>
        <w:ind w:firstLine="500"/>
        <w:jc w:val="both"/>
      </w:pPr>
      <w:r>
        <w:t>číslo faktury,</w:t>
      </w:r>
    </w:p>
    <w:p w:rsidR="009E1744" w:rsidRDefault="006E43A9">
      <w:pPr>
        <w:pStyle w:val="Zkladntext1"/>
        <w:numPr>
          <w:ilvl w:val="0"/>
          <w:numId w:val="16"/>
        </w:numPr>
        <w:shd w:val="clear" w:color="auto" w:fill="auto"/>
        <w:tabs>
          <w:tab w:val="left" w:pos="838"/>
        </w:tabs>
        <w:spacing w:after="0" w:line="259" w:lineRule="auto"/>
        <w:ind w:firstLine="500"/>
        <w:jc w:val="both"/>
      </w:pPr>
      <w:r>
        <w:t>den vystavení/odeslání a den splatnosti faktury,</w:t>
      </w:r>
    </w:p>
    <w:p w:rsidR="009E1744" w:rsidRDefault="006E43A9">
      <w:pPr>
        <w:pStyle w:val="Zkladntext1"/>
        <w:numPr>
          <w:ilvl w:val="0"/>
          <w:numId w:val="16"/>
        </w:numPr>
        <w:shd w:val="clear" w:color="auto" w:fill="auto"/>
        <w:tabs>
          <w:tab w:val="left" w:pos="838"/>
        </w:tabs>
        <w:spacing w:after="0" w:line="259" w:lineRule="auto"/>
        <w:ind w:firstLine="500"/>
        <w:jc w:val="both"/>
      </w:pPr>
      <w:r>
        <w:t>označení peněžního ústavu, číslo účtu, na který má být finanční částka převedena,</w:t>
      </w:r>
    </w:p>
    <w:p w:rsidR="009E1744" w:rsidRDefault="006E43A9">
      <w:pPr>
        <w:pStyle w:val="Zkladntext1"/>
        <w:numPr>
          <w:ilvl w:val="0"/>
          <w:numId w:val="16"/>
        </w:numPr>
        <w:shd w:val="clear" w:color="auto" w:fill="auto"/>
        <w:tabs>
          <w:tab w:val="left" w:pos="842"/>
        </w:tabs>
        <w:spacing w:after="0" w:line="259" w:lineRule="auto"/>
        <w:ind w:left="840" w:hanging="300"/>
        <w:jc w:val="both"/>
      </w:pPr>
      <w:r>
        <w:t>popis fakturované činnosti, a to včetně označení registrované akce a jejího identifikačního čísla,</w:t>
      </w:r>
    </w:p>
    <w:p w:rsidR="009E1744" w:rsidRDefault="00184A77">
      <w:pPr>
        <w:pStyle w:val="Zkladntext1"/>
        <w:shd w:val="clear" w:color="auto" w:fill="auto"/>
        <w:spacing w:after="0" w:line="259" w:lineRule="auto"/>
        <w:ind w:firstLine="460"/>
      </w:pPr>
      <w:r>
        <w:t xml:space="preserve"> f</w:t>
      </w:r>
      <w:r w:rsidR="006E43A9">
        <w:t>)</w:t>
      </w:r>
      <w:r w:rsidR="006E43A9">
        <w:t xml:space="preserve"> </w:t>
      </w:r>
      <w:r>
        <w:t xml:space="preserve">   </w:t>
      </w:r>
      <w:r w:rsidR="006E43A9">
        <w:t>fakturovanou částku včetně DPH platné v době fakturace,</w:t>
      </w:r>
    </w:p>
    <w:p w:rsidR="009E1744" w:rsidRDefault="006E43A9">
      <w:pPr>
        <w:pStyle w:val="Zkladntext1"/>
        <w:numPr>
          <w:ilvl w:val="0"/>
          <w:numId w:val="14"/>
        </w:numPr>
        <w:shd w:val="clear" w:color="auto" w:fill="auto"/>
        <w:tabs>
          <w:tab w:val="left" w:pos="838"/>
        </w:tabs>
        <w:spacing w:line="259" w:lineRule="auto"/>
        <w:ind w:firstLine="500"/>
        <w:jc w:val="both"/>
      </w:pPr>
      <w:r>
        <w:t>razítko a podpis oprávněné osoby.</w:t>
      </w: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554"/>
        </w:tabs>
        <w:ind w:firstLine="140"/>
      </w:pPr>
      <w:r>
        <w:t>Lhůta splatnosti faktury se sjednává na 30 dní od doručení faktury zadavateli.</w:t>
      </w: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554"/>
        </w:tabs>
        <w:ind w:left="500" w:hanging="360"/>
        <w:jc w:val="both"/>
      </w:pPr>
      <w:r>
        <w:t>Zadavatel</w:t>
      </w:r>
      <w:r w:rsidR="00184A77">
        <w:t xml:space="preserve"> </w:t>
      </w:r>
      <w:r>
        <w:t xml:space="preserve">je oprávněn před uplynutím lhůty splatnosti vrátit dodavateli fakturu, která </w:t>
      </w:r>
      <w:r>
        <w:t>neobsahuje požadované náležitosti nebo obsahuje nesprávné údaje. Oprávněným vrácením faktu</w:t>
      </w:r>
      <w:r w:rsidR="00184A77">
        <w:t>r</w:t>
      </w:r>
      <w:r>
        <w:t>y přestává běžet lhůta splatnosti. Dodavatel vystaví novou fakturu se správnými údaji a dnem doručení zadavateli začíná běžet nová 30 denní lhůta splatnosti.</w:t>
      </w:r>
    </w:p>
    <w:p w:rsidR="009E1744" w:rsidRDefault="006E43A9">
      <w:pPr>
        <w:pStyle w:val="Zkladntext1"/>
        <w:numPr>
          <w:ilvl w:val="0"/>
          <w:numId w:val="15"/>
        </w:numPr>
        <w:shd w:val="clear" w:color="auto" w:fill="auto"/>
        <w:tabs>
          <w:tab w:val="left" w:pos="554"/>
        </w:tabs>
        <w:spacing w:after="500"/>
        <w:ind w:left="500" w:hanging="360"/>
        <w:jc w:val="both"/>
      </w:pPr>
      <w:r>
        <w:t>Vyplývá</w:t>
      </w:r>
      <w:r>
        <w:t>-li z informací zveřejněných správcem daně ve smyslu zákona o dani z přidané hodnoty, že dodavatel je nespolehlivým plátcem DPH, je zadavatel oprávněn příslušnou DPH uhradit přímo místně a věcně příslušnému správci daně dodavatele.</w:t>
      </w:r>
    </w:p>
    <w:p w:rsidR="009E1744" w:rsidRDefault="006E43A9">
      <w:pPr>
        <w:pStyle w:val="Nadpis20"/>
        <w:keepNext/>
        <w:keepLines/>
        <w:shd w:val="clear" w:color="auto" w:fill="auto"/>
        <w:spacing w:after="0"/>
      </w:pPr>
      <w:bookmarkStart w:id="10" w:name="bookmark10"/>
      <w:bookmarkStart w:id="11" w:name="bookmark11"/>
      <w:r>
        <w:t>Článek 8</w:t>
      </w:r>
      <w:bookmarkEnd w:id="10"/>
      <w:bookmarkEnd w:id="11"/>
    </w:p>
    <w:p w:rsidR="009E1744" w:rsidRDefault="006E43A9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Sankce, náhrada</w:t>
      </w:r>
      <w:r>
        <w:t xml:space="preserve"> škody, výpověď a odstoupení od Smlouvy</w:t>
      </w:r>
      <w:bookmarkEnd w:id="12"/>
      <w:bookmarkEnd w:id="13"/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54"/>
        </w:tabs>
        <w:spacing w:after="500"/>
        <w:ind w:left="500" w:hanging="360"/>
        <w:jc w:val="both"/>
      </w:pPr>
      <w:r>
        <w:t>Bude-li zadavatel v prodlení s úhradou faktury, je dodavatel oprávněn požadovat na zadavateli zaplacení zákonného úroku z prodlení ve výši dle právních předpisů z dlužné částky za každý započatý den prodlení až do do</w:t>
      </w:r>
      <w:r>
        <w:t>by zaplacení dlužné částky a zadavatel se zavazuje takto požadovaný úrok z prodlení zaplatit. Zaplacení smluvní pokuty nemá vliv na případnou povinnost k náhradě škody.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54"/>
        </w:tabs>
        <w:spacing w:after="320"/>
        <w:ind w:left="500" w:hanging="360"/>
        <w:jc w:val="both"/>
      </w:pPr>
      <w:r>
        <w:t>V případě porušení povinností dodavatele sjednaných touto Smlouvou, v jehož důsledku do</w:t>
      </w:r>
      <w:r>
        <w:t>jde k porušení povinností zadavatele postupovat při zadávání veřejné zakázky podle ZZVZ nebo podle závazných pravidel uvedených v odst. 1.6 této Smlouvy, je zadavatel oprávněn požadovat na dodavateli zaplacení smluvní pokuty ve výši 50.000,- Kč (slovy: pad</w:t>
      </w:r>
      <w:r>
        <w:t>esát tisíc korun českých) za každé takovéto jednotlivé porušení povinnosti dodavatele a dodavatel se zavazuje takto požadovanou smluvní pokutu zaplatit. Zaplacením smluvní pokuty není dotčeno právo zadavatele na náhradu škody vzniklé zadavateli z takto pos</w:t>
      </w:r>
      <w:r>
        <w:t>tiženého jednání dodavatele.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54"/>
        </w:tabs>
        <w:spacing w:line="262" w:lineRule="auto"/>
        <w:ind w:left="500" w:hanging="360"/>
        <w:jc w:val="both"/>
      </w:pPr>
      <w:r>
        <w:t>V případě porušení povinností dodavatele poskytovat zadavateli informace a dokumentaci požadované k dokladování činnosti dodavatele (dle požadavků příslušných kontrolních orgánů), nebo umožnit přístup kontrolou pověřeným osobám</w:t>
      </w:r>
      <w:r>
        <w:t xml:space="preserve"> do jeho k podnikání užívaných objektů a na jeho k podnikání užívané pozemky k ověřování plnění podmínek této Smlouvy po dobu 10 let od uzavření této Smlouvy, je zadavatel oprávněn požadovat na dodavateli zaplacení smluvní pokuty ve výši 50.000,- Kč (slovy</w:t>
      </w:r>
      <w:r>
        <w:t>: padesát tisíc korun českých) za každé takovéto jednotlivé porušení povinnosti dodavatele a dodavatel se zavazuje takto požadovanou smluvní pokutu zaplatit. Zaplacením smluvní pokuty není dotčeno právo zadavatele na náhradu škody vzniklé zadavateli z takt</w:t>
      </w:r>
      <w:r>
        <w:t>o postiženého jednání dodavatele.</w:t>
      </w:r>
    </w:p>
    <w:p w:rsidR="00184A77" w:rsidRDefault="00184A77" w:rsidP="00184A77">
      <w:pPr>
        <w:pStyle w:val="Zkladntext1"/>
        <w:shd w:val="clear" w:color="auto" w:fill="auto"/>
        <w:tabs>
          <w:tab w:val="left" w:pos="554"/>
        </w:tabs>
        <w:spacing w:line="262" w:lineRule="auto"/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554"/>
        </w:tabs>
        <w:spacing w:line="262" w:lineRule="auto"/>
        <w:jc w:val="both"/>
      </w:pPr>
    </w:p>
    <w:p w:rsidR="00184A77" w:rsidRDefault="00184A77" w:rsidP="00184A77">
      <w:pPr>
        <w:pStyle w:val="Zkladntext1"/>
        <w:shd w:val="clear" w:color="auto" w:fill="auto"/>
        <w:tabs>
          <w:tab w:val="left" w:pos="554"/>
        </w:tabs>
        <w:spacing w:line="262" w:lineRule="auto"/>
        <w:jc w:val="both"/>
      </w:pPr>
    </w:p>
    <w:p w:rsidR="009E1744" w:rsidRDefault="00184A77">
      <w:pPr>
        <w:pStyle w:val="Zkladntext1"/>
        <w:numPr>
          <w:ilvl w:val="0"/>
          <w:numId w:val="17"/>
        </w:numPr>
        <w:shd w:val="clear" w:color="auto" w:fill="auto"/>
        <w:tabs>
          <w:tab w:val="left" w:pos="414"/>
        </w:tabs>
        <w:ind w:firstLine="140"/>
        <w:jc w:val="both"/>
      </w:pPr>
      <w:r>
        <w:t xml:space="preserve"> </w:t>
      </w:r>
      <w:r w:rsidR="006E43A9">
        <w:t xml:space="preserve">Smluvní pokuty, úroky a náhrady škody dle této Smlouvy jsou splatné na základě písemné výzvy oprávněné </w:t>
      </w:r>
      <w:r>
        <w:t xml:space="preserve"> </w:t>
      </w:r>
      <w:r w:rsidR="006E43A9">
        <w:t xml:space="preserve">smluvní strany doručené straně povinné. V případě prodlení povinné smluvní strany se zaplacením smluvní pokuty nebo </w:t>
      </w:r>
      <w:r w:rsidR="006E43A9">
        <w:t>náhrady škody je oprávněná smluvní strana oprávněna ke smluvní pokutě nebo náhradě škody účtovat běžný úrok z prodlení.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ind w:left="540" w:hanging="380"/>
        <w:jc w:val="both"/>
      </w:pPr>
      <w:r>
        <w:t>Tuto Smlouvu je možné (mimo v ní předpokládaném ukončení splněním povinností smluvních stran) ukončit dohodou smluvních stran nebo odsto</w:t>
      </w:r>
      <w:r>
        <w:t>upením jedné ze smluvních stran. Kterákoliv ze smluvních stran je oprávněna od této Smlouvy odstoupit ze zákonných důvodů.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spacing w:after="0" w:line="262" w:lineRule="auto"/>
        <w:ind w:left="540" w:hanging="380"/>
        <w:jc w:val="both"/>
      </w:pPr>
      <w:r>
        <w:t>Smluvní strany se dohodly, že zadavatel je oprávněn tuto Smlouvu vypovědět, pokud v průběhu plnění této Smlouvy nastanou nebo se stan</w:t>
      </w:r>
      <w:r>
        <w:t>ou známými skutečnosti na straně dodavatele důvodně vedoucí k podezření podjatosti ve vztahu předmětné veřejné zakázce nebo uchazečům o ni. Výpověď musí být vždy písemná a doručena dodavateli. Výpovědní doba je 15 dnů a počíná běžet</w:t>
      </w:r>
    </w:p>
    <w:p w:rsidR="009E1744" w:rsidRDefault="006E43A9">
      <w:pPr>
        <w:pStyle w:val="Zkladntext1"/>
        <w:numPr>
          <w:ilvl w:val="0"/>
          <w:numId w:val="18"/>
        </w:numPr>
        <w:shd w:val="clear" w:color="auto" w:fill="auto"/>
        <w:tabs>
          <w:tab w:val="left" w:pos="802"/>
          <w:tab w:val="left" w:pos="954"/>
        </w:tabs>
        <w:spacing w:line="262" w:lineRule="auto"/>
        <w:ind w:firstLine="540"/>
        <w:jc w:val="both"/>
      </w:pPr>
      <w:r>
        <w:t>dne následujícího po dn</w:t>
      </w:r>
      <w:r>
        <w:t>i,</w:t>
      </w:r>
      <w:r>
        <w:rPr>
          <w:i w:val="0"/>
          <w:iCs w:val="0"/>
          <w:sz w:val="22"/>
          <w:szCs w:val="22"/>
        </w:rPr>
        <w:t xml:space="preserve"> v </w:t>
      </w:r>
      <w:r>
        <w:t>němž byla písemná výpověď doručena dodavateli.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ind w:left="540" w:hanging="380"/>
        <w:jc w:val="both"/>
      </w:pPr>
      <w:r>
        <w:t xml:space="preserve">Od nabytí účinnosti písemné výpovědi nebo odstoupení od této Smlouvy je dodavatel povinen nepokračovat v činnosti podle této Smlouvy. Je však povinen zadavatele upozornit na opatření potřebná k tomu, aby </w:t>
      </w:r>
      <w:r>
        <w:t>se zabránilo vzniku škody bezprostředně hrozící zadavateli nedokončením činností souvisejících se zařizováním příslušných záležitostí podle této Smlouvy.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ind w:left="540" w:hanging="380"/>
        <w:jc w:val="both"/>
      </w:pPr>
      <w:r>
        <w:t>Dojde-li k ukončení této Smlouvy z důvodů ležících výhradně na straně zadavatele, je zadavatel povinen</w:t>
      </w:r>
      <w:r>
        <w:t xml:space="preserve"> uhradit dodavateli prokázané náklady účelně vynaložené na provedené činnosti podle této Smlouvy.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spacing w:line="259" w:lineRule="auto"/>
        <w:ind w:left="540" w:hanging="380"/>
        <w:jc w:val="both"/>
      </w:pPr>
      <w:r>
        <w:t>Odstoupí-li dodavatel od Smlouvy, je povinen uhradit zadavateli škodu, která zadavateli odstoupením od Smlouvy vznikne.</w:t>
      </w:r>
    </w:p>
    <w:p w:rsidR="009E1744" w:rsidRDefault="006E43A9">
      <w:pPr>
        <w:pStyle w:val="Zkladntext1"/>
        <w:numPr>
          <w:ilvl w:val="0"/>
          <w:numId w:val="17"/>
        </w:numPr>
        <w:shd w:val="clear" w:color="auto" w:fill="auto"/>
        <w:tabs>
          <w:tab w:val="left" w:pos="579"/>
        </w:tabs>
        <w:spacing w:after="480"/>
        <w:ind w:left="540" w:hanging="540"/>
        <w:jc w:val="both"/>
      </w:pPr>
      <w:r>
        <w:t xml:space="preserve">Po ukončení této Smlouvy je dodavatel </w:t>
      </w:r>
      <w:r>
        <w:t>povinen vrátit zadavateli do 14 dnů veškeré podklady získané od zadavatele</w:t>
      </w:r>
      <w:r>
        <w:rPr>
          <w:i w:val="0"/>
          <w:iCs w:val="0"/>
          <w:sz w:val="22"/>
          <w:szCs w:val="22"/>
        </w:rPr>
        <w:t xml:space="preserve"> v </w:t>
      </w:r>
      <w:r>
        <w:t>souvislosti s plněním této Smlouvy, pokud se smluvní strany nedohodnou jinak.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9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Ostatní ujednání</w:t>
      </w:r>
      <w:bookmarkEnd w:id="14"/>
      <w:bookmarkEnd w:id="15"/>
    </w:p>
    <w:p w:rsidR="009E1744" w:rsidRDefault="006E43A9">
      <w:pPr>
        <w:pStyle w:val="Zkladntext1"/>
        <w:numPr>
          <w:ilvl w:val="0"/>
          <w:numId w:val="19"/>
        </w:numPr>
        <w:shd w:val="clear" w:color="auto" w:fill="auto"/>
        <w:tabs>
          <w:tab w:val="left" w:pos="579"/>
        </w:tabs>
        <w:ind w:left="540" w:hanging="380"/>
        <w:jc w:val="both"/>
      </w:pPr>
      <w:r>
        <w:t xml:space="preserve">Dodavatel vydává souhlas objednavateli ke zveřejnění obsahu této Smlouvy </w:t>
      </w:r>
      <w:r>
        <w:t>dle zákona č. 106/1999 Sb., o svobodném přístupu k informacím, ve znění pozdějších předpisů.</w:t>
      </w:r>
    </w:p>
    <w:p w:rsidR="009E1744" w:rsidRDefault="006E43A9">
      <w:pPr>
        <w:pStyle w:val="Zkladntext1"/>
        <w:numPr>
          <w:ilvl w:val="0"/>
          <w:numId w:val="19"/>
        </w:numPr>
        <w:shd w:val="clear" w:color="auto" w:fill="auto"/>
        <w:tabs>
          <w:tab w:val="left" w:pos="579"/>
        </w:tabs>
        <w:ind w:left="540" w:hanging="380"/>
        <w:jc w:val="both"/>
      </w:pPr>
      <w:r>
        <w:t>Dodavatel se zavazuje zachovat mlčenlivost o všech skutečnostech, o kterých se dozví v souvislosti s plněním této Smlouvy. Dodavatel se tak zavazuje, že všechny in</w:t>
      </w:r>
      <w:r>
        <w:t xml:space="preserve">formace, které se týkají služeb poskytovaných zadavateli dle této Smlouvy nebo které byly dodavateli poskytnuty zadavatelem a které nejsou jiným způsobem, nebo jednáním či opomenutím zadavatele k dispozici veřejnosti (tedy </w:t>
      </w:r>
      <w:r>
        <w:rPr>
          <w:u w:val="single"/>
        </w:rPr>
        <w:t>důvěrné informace</w:t>
      </w:r>
      <w:r>
        <w:t xml:space="preserve"> bude považovat </w:t>
      </w:r>
      <w:r>
        <w:t>za důvěrné a nebude je dále poskytovat</w:t>
      </w:r>
      <w:r w:rsidR="00184A77">
        <w:t xml:space="preserve"> </w:t>
      </w:r>
      <w:r>
        <w:t>jakýmkoliv třetím stranám bez předchozího písemného souhlasu zadavatele.</w:t>
      </w:r>
    </w:p>
    <w:p w:rsidR="009E1744" w:rsidRDefault="006E43A9">
      <w:pPr>
        <w:pStyle w:val="Zkladntext1"/>
        <w:numPr>
          <w:ilvl w:val="0"/>
          <w:numId w:val="19"/>
        </w:numPr>
        <w:shd w:val="clear" w:color="auto" w:fill="auto"/>
        <w:tabs>
          <w:tab w:val="left" w:pos="579"/>
        </w:tabs>
        <w:spacing w:after="360" w:line="257" w:lineRule="auto"/>
        <w:ind w:left="540" w:hanging="380"/>
        <w:jc w:val="both"/>
      </w:pPr>
      <w:r>
        <w:rPr>
          <w:u w:val="single"/>
        </w:rPr>
        <w:t>Vzniknou-li mezi smluvními stranami v rámci závazků vyplývajících</w:t>
      </w:r>
      <w:r>
        <w:rPr>
          <w:i w:val="0"/>
          <w:iCs w:val="0"/>
          <w:sz w:val="22"/>
          <w:szCs w:val="22"/>
          <w:u w:val="single"/>
        </w:rPr>
        <w:t xml:space="preserve"> z </w:t>
      </w:r>
      <w:r>
        <w:rPr>
          <w:u w:val="single"/>
        </w:rPr>
        <w:t xml:space="preserve">této Smlouvy spory, které nelze vyřešit dohodou, bude takový spor řešen před </w:t>
      </w:r>
      <w:r>
        <w:rPr>
          <w:u w:val="single"/>
        </w:rPr>
        <w:t>soudem věcně a místně příslušným dle sídla zadavatele.</w:t>
      </w:r>
    </w:p>
    <w:p w:rsidR="009E1744" w:rsidRDefault="006E43A9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10</w:t>
      </w:r>
    </w:p>
    <w:p w:rsidR="009E1744" w:rsidRDefault="006E43A9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:rsidR="009E1744" w:rsidRDefault="006E43A9">
      <w:pPr>
        <w:pStyle w:val="Zkladntext1"/>
        <w:shd w:val="clear" w:color="auto" w:fill="auto"/>
        <w:spacing w:line="266" w:lineRule="auto"/>
        <w:ind w:left="540" w:hanging="540"/>
        <w:jc w:val="both"/>
      </w:pPr>
      <w:r>
        <w:t>10.1 Právní vztahy touto Smlouvou výslovně neupravené se řídí zejména příslušnými ustanoveními občanského zákoníku a ZZVZ.</w:t>
      </w:r>
      <w:r>
        <w:br w:type="page"/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spacing w:line="262" w:lineRule="auto"/>
        <w:ind w:left="540" w:hanging="540"/>
        <w:jc w:val="both"/>
      </w:pPr>
      <w:r>
        <w:lastRenderedPageBreak/>
        <w:t>Pokud by tato Smlouva trpěla právními vadami</w:t>
      </w:r>
      <w:r>
        <w:rPr>
          <w:i w:val="0"/>
          <w:iCs w:val="0"/>
          <w:sz w:val="22"/>
          <w:szCs w:val="22"/>
        </w:rPr>
        <w:t xml:space="preserve"> v</w:t>
      </w:r>
      <w:r>
        <w:rPr>
          <w:i w:val="0"/>
          <w:iCs w:val="0"/>
          <w:sz w:val="22"/>
          <w:szCs w:val="22"/>
        </w:rPr>
        <w:t xml:space="preserve"> </w:t>
      </w:r>
      <w:r>
        <w:t>důsledku změny obecné právní úpravy nebo i jinak, nemohou takové právní vady způsobit neplatnost nebo neúčinnost celé Smlouvy. Všechna ustanovení Smlouvy jsou oddělitelná, a pokud se jakékoliv její ustanovení stane neplatným, protiprávním nebo</w:t>
      </w:r>
      <w:r>
        <w:rPr>
          <w:i w:val="0"/>
          <w:iCs w:val="0"/>
          <w:sz w:val="22"/>
          <w:szCs w:val="22"/>
        </w:rPr>
        <w:t xml:space="preserve"> v </w:t>
      </w:r>
      <w:r>
        <w:t>rozporu s</w:t>
      </w:r>
      <w:r>
        <w:t xml:space="preserve"> veřejným zájmem, platnost ostatních ustanovení tím není dotčena a Smlouva bude posuzována tak, jako by tato neplatná ustanovení nikdy neobsahovala. Na místo neplatného nebo neúčinného ujednání se smluvní strany zavazují nahradit tato ustanovení takovým ob</w:t>
      </w:r>
      <w:r>
        <w:t>sahem, který umožní, aby účelu Smlouvy bylo dosaženo.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spacing w:line="259" w:lineRule="auto"/>
        <w:ind w:left="540" w:hanging="540"/>
        <w:jc w:val="both"/>
      </w:pPr>
      <w:r>
        <w:t>Smlouva je vyhotovena ve čtyřech stejnopisech, z nichž každý má platnost originálu. Tři vyhotovení obdrží zadavatel a jedno vyhotoven</w:t>
      </w:r>
      <w:r w:rsidR="00184A77">
        <w:t>í</w:t>
      </w:r>
      <w:r>
        <w:t xml:space="preserve"> obdrží dodavatel. Smluvní strany shodně prohlašují, že došlo k </w:t>
      </w:r>
      <w:r>
        <w:t>dohodě o celém obsahu této Smlouvy.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spacing w:line="266" w:lineRule="auto"/>
        <w:ind w:left="540" w:hanging="540"/>
        <w:jc w:val="both"/>
      </w:pPr>
      <w:r>
        <w:t>Ustanovení této Smlouvy lze měnit pouze písemnými dodatky, označenými jako dodatek s pořadovým číslem, a potvrzenými oběma smluvními stranami.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spacing w:after="320"/>
        <w:ind w:left="540" w:hanging="540"/>
        <w:jc w:val="both"/>
      </w:pPr>
      <w:r>
        <w:t xml:space="preserve">Vzhledem k veřejnoprávnímu charakteru zadavatele dodavatel svým podpisem pod </w:t>
      </w:r>
      <w:r>
        <w:t>textem této Smlouvy uděluje zadavateli svůj výslovný souhlas se zveřejněním smluvních podmínek obsažených v této Smlouvě v rozsahu a za podmínek vyplývajících z příslušných právních předpisů.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ind w:left="540" w:hanging="540"/>
        <w:jc w:val="both"/>
      </w:pPr>
      <w:r>
        <w:t>Tato Smlouva nabývá platnosti dnem jejího podpisu druhou ze smlu</w:t>
      </w:r>
      <w:r>
        <w:t>vních stran a účinnosti dnem zveřejnění Smlouvy v registru smluv podle zákona č. 340/2015 Sb., o zvláštních podmínkách účinnosti některých smluv, uveřejňování těchto smluv a o registru smluv, ve znění pozdějších předpisů (dále jen „zákon o registru smluv")</w:t>
      </w:r>
      <w:r>
        <w:t>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  <w:spacing w:line="259" w:lineRule="auto"/>
        <w:ind w:left="540" w:hanging="540"/>
        <w:jc w:val="both"/>
      </w:pPr>
      <w:r>
        <w:t>Pro případ povinnosti zveřejnění Smlouvy dle zákona o registru smluv smluvní strany sjednávají, že zveřejnění provede zadavatel. Obě smluvní strany berou na vědomí, že nebudou zveřejněny pouze ty informace, které nelze poskytnout podle předpisů upravujíc</w:t>
      </w:r>
      <w:r>
        <w:t>ích svobodný přístup k informacím. Považuje-li druhá smluvní strana některé informace uvedené ve Smlouvě za informace, které nemohou nebo nemají být zveřejněny</w:t>
      </w:r>
      <w:r>
        <w:rPr>
          <w:i w:val="0"/>
          <w:iCs w:val="0"/>
          <w:sz w:val="22"/>
          <w:szCs w:val="22"/>
        </w:rPr>
        <w:t xml:space="preserve"> v </w:t>
      </w:r>
      <w:r>
        <w:t>registru smluv dle zákona o registru smluv, je povinna na to zadavatele současně s uzavřením S</w:t>
      </w:r>
      <w:r>
        <w:t>mlouvy písemně upozornit.</w:t>
      </w:r>
    </w:p>
    <w:p w:rsidR="009E1744" w:rsidRDefault="006E43A9">
      <w:pPr>
        <w:pStyle w:val="Zkladntext1"/>
        <w:numPr>
          <w:ilvl w:val="0"/>
          <w:numId w:val="20"/>
        </w:numPr>
        <w:shd w:val="clear" w:color="auto" w:fill="auto"/>
        <w:tabs>
          <w:tab w:val="left" w:pos="563"/>
        </w:tabs>
      </w:pPr>
      <w:r>
        <w:t>Nedílnou součástí této Smlouvy jsou její přílohy:</w:t>
      </w:r>
    </w:p>
    <w:p w:rsidR="009E1744" w:rsidRDefault="006E43A9">
      <w:pPr>
        <w:pStyle w:val="Zkladntext1"/>
        <w:numPr>
          <w:ilvl w:val="0"/>
          <w:numId w:val="21"/>
        </w:numPr>
        <w:shd w:val="clear" w:color="auto" w:fill="auto"/>
        <w:tabs>
          <w:tab w:val="left" w:pos="820"/>
        </w:tabs>
        <w:spacing w:after="0"/>
        <w:ind w:firstLine="540"/>
      </w:pPr>
      <w:r>
        <w:t>Rozsah práce a cenová nabídka</w:t>
      </w:r>
    </w:p>
    <w:p w:rsidR="009E1744" w:rsidRDefault="006E43A9">
      <w:pPr>
        <w:pStyle w:val="Zkladntext1"/>
        <w:numPr>
          <w:ilvl w:val="0"/>
          <w:numId w:val="21"/>
        </w:numPr>
        <w:shd w:val="clear" w:color="auto" w:fill="auto"/>
        <w:tabs>
          <w:tab w:val="left" w:pos="837"/>
        </w:tabs>
        <w:spacing w:after="0"/>
        <w:ind w:left="860" w:hanging="300"/>
        <w:jc w:val="both"/>
      </w:pPr>
      <w:r>
        <w:t>Platný doklad o pojištění dodavatele na odpovědnost za škodu způsobenou jeho činností v souvislosti s plněním této Smlouvy</w:t>
      </w:r>
    </w:p>
    <w:p w:rsidR="009E1744" w:rsidRDefault="006E43A9">
      <w:pPr>
        <w:pStyle w:val="Zkladntext1"/>
        <w:numPr>
          <w:ilvl w:val="0"/>
          <w:numId w:val="21"/>
        </w:numPr>
        <w:shd w:val="clear" w:color="auto" w:fill="auto"/>
        <w:tabs>
          <w:tab w:val="left" w:pos="820"/>
        </w:tabs>
        <w:spacing w:after="520"/>
        <w:ind w:firstLine="540"/>
      </w:pPr>
      <w:r>
        <w:t>Podmínky registrované akce</w:t>
      </w:r>
    </w:p>
    <w:p w:rsidR="009E1744" w:rsidRDefault="006E43A9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4204970</wp:posOffset>
                </wp:positionH>
                <wp:positionV relativeFrom="paragraph">
                  <wp:posOffset>1722755</wp:posOffset>
                </wp:positionV>
                <wp:extent cx="1871980" cy="35433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354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1744" w:rsidRDefault="006B16E1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="006E43A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ng. arch. Igor </w:t>
                            </w:r>
                            <w:proofErr w:type="spellStart"/>
                            <w:r w:rsidR="006E43A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Kovačevic</w:t>
                            </w:r>
                            <w:proofErr w:type="spellEnd"/>
                            <w:r w:rsidR="006E43A9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, Ph.D. jednatel MOBA studio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31.1pt;margin-top:135.65pt;width:147.4pt;height:27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" filled="f" stroked="f">
                <v:textbox inset="0,0,0,0">
                  <w:txbxContent>
                    <w:p w:rsidR="009E1744" w:rsidRDefault="006B16E1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r w:rsidR="006E43A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ng. arch. Igor </w:t>
                      </w:r>
                      <w:proofErr w:type="spellStart"/>
                      <w:r w:rsidR="006E43A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Kovačevic</w:t>
                      </w:r>
                      <w:proofErr w:type="spellEnd"/>
                      <w:r w:rsidR="006E43A9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, Ph.D. jednatel MOBA studio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8" w:name="bookmark18"/>
      <w:bookmarkStart w:id="19" w:name="bookmark19"/>
      <w:r>
        <w:t xml:space="preserve">14. 10. </w:t>
      </w:r>
      <w:r w:rsidR="006B16E1">
        <w:t>2</w:t>
      </w:r>
      <w:r>
        <w:t>019</w:t>
      </w:r>
      <w:bookmarkEnd w:id="18"/>
      <w:bookmarkEnd w:id="19"/>
    </w:p>
    <w:p w:rsidR="009E1744" w:rsidRDefault="006E43A9">
      <w:pPr>
        <w:pStyle w:val="Zkladntext1"/>
        <w:shd w:val="clear" w:color="auto" w:fill="auto"/>
        <w:tabs>
          <w:tab w:val="left" w:leader="dot" w:pos="2915"/>
        </w:tabs>
        <w:spacing w:after="1740" w:line="240" w:lineRule="auto"/>
        <w:ind w:firstLine="280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V Praze dne</w:t>
      </w:r>
      <w:r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  <w:t xml:space="preserve">         V Praze dne   18/10/2019</w:t>
      </w:r>
      <w:bookmarkStart w:id="20" w:name="_GoBack"/>
      <w:bookmarkEnd w:id="20"/>
    </w:p>
    <w:p w:rsidR="009E1744" w:rsidRDefault="006E43A9">
      <w:pPr>
        <w:pStyle w:val="Zkladntext1"/>
        <w:shd w:val="clear" w:color="auto" w:fill="auto"/>
        <w:spacing w:after="0" w:line="240" w:lineRule="auto"/>
        <w:ind w:firstLine="28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Za zadavat</w:t>
      </w:r>
      <w:r w:rsidR="00184A77">
        <w:rPr>
          <w:i w:val="0"/>
          <w:iCs w:val="0"/>
          <w:sz w:val="22"/>
          <w:szCs w:val="22"/>
        </w:rPr>
        <w:t>ele:</w:t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</w:r>
      <w:r w:rsidR="006B16E1">
        <w:rPr>
          <w:i w:val="0"/>
          <w:iCs w:val="0"/>
          <w:sz w:val="22"/>
          <w:szCs w:val="22"/>
        </w:rPr>
        <w:tab/>
        <w:t xml:space="preserve">          Za dodavatele:</w:t>
      </w:r>
    </w:p>
    <w:p w:rsidR="00184A77" w:rsidRDefault="006E43A9" w:rsidP="00184A77">
      <w:pPr>
        <w:pStyle w:val="Zkladntext1"/>
        <w:shd w:val="clear" w:color="auto" w:fill="auto"/>
        <w:spacing w:after="0" w:line="240" w:lineRule="auto"/>
        <w:ind w:left="28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Ing. Alena </w:t>
      </w:r>
      <w:r>
        <w:rPr>
          <w:i w:val="0"/>
          <w:iCs w:val="0"/>
          <w:sz w:val="22"/>
          <w:szCs w:val="22"/>
        </w:rPr>
        <w:t>Anne-M</w:t>
      </w:r>
      <w:r w:rsidR="00184A77">
        <w:rPr>
          <w:i w:val="0"/>
          <w:iCs w:val="0"/>
          <w:sz w:val="22"/>
          <w:szCs w:val="22"/>
        </w:rPr>
        <w:t>a</w:t>
      </w:r>
      <w:r>
        <w:rPr>
          <w:i w:val="0"/>
          <w:iCs w:val="0"/>
          <w:sz w:val="22"/>
          <w:szCs w:val="22"/>
        </w:rPr>
        <w:t xml:space="preserve">rie Nedoma </w:t>
      </w:r>
    </w:p>
    <w:p w:rsidR="009E1744" w:rsidRDefault="006E43A9" w:rsidP="00184A77">
      <w:pPr>
        <w:pStyle w:val="Zkladntext1"/>
        <w:shd w:val="clear" w:color="auto" w:fill="auto"/>
        <w:spacing w:after="0" w:line="240" w:lineRule="auto"/>
        <w:ind w:left="280"/>
        <w:rPr>
          <w:sz w:val="22"/>
          <w:szCs w:val="22"/>
        </w:rPr>
        <w:sectPr w:rsidR="009E1744">
          <w:footerReference w:type="default" r:id="rId7"/>
          <w:footerReference w:type="first" r:id="rId8"/>
          <w:pgSz w:w="11900" w:h="16840"/>
          <w:pgMar w:top="1094" w:right="1338" w:bottom="1294" w:left="113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i w:val="0"/>
          <w:iCs w:val="0"/>
          <w:sz w:val="22"/>
          <w:szCs w:val="22"/>
        </w:rPr>
        <w:t>generální ředitelka</w:t>
      </w:r>
    </w:p>
    <w:p w:rsidR="009E1744" w:rsidRDefault="009E1744">
      <w:pPr>
        <w:spacing w:before="19" w:after="19" w:line="240" w:lineRule="exact"/>
        <w:rPr>
          <w:sz w:val="19"/>
          <w:szCs w:val="19"/>
        </w:rPr>
      </w:pPr>
    </w:p>
    <w:p w:rsidR="009E1744" w:rsidRDefault="009E1744">
      <w:pPr>
        <w:spacing w:line="1" w:lineRule="exact"/>
        <w:sectPr w:rsidR="009E1744">
          <w:type w:val="continuous"/>
          <w:pgSz w:w="11900" w:h="16840"/>
          <w:pgMar w:top="1092" w:right="0" w:bottom="848" w:left="0" w:header="0" w:footer="3" w:gutter="0"/>
          <w:cols w:space="720"/>
          <w:noEndnote/>
          <w:docGrid w:linePitch="360"/>
        </w:sectPr>
      </w:pPr>
    </w:p>
    <w:p w:rsidR="009E1744" w:rsidRDefault="009E1744">
      <w:pPr>
        <w:spacing w:line="360" w:lineRule="exact"/>
      </w:pPr>
    </w:p>
    <w:p w:rsidR="009E1744" w:rsidRDefault="009E1744">
      <w:pPr>
        <w:spacing w:after="491" w:line="1" w:lineRule="exact"/>
      </w:pPr>
    </w:p>
    <w:p w:rsidR="009E1744" w:rsidRDefault="009E1744">
      <w:pPr>
        <w:spacing w:line="1" w:lineRule="exact"/>
      </w:pPr>
    </w:p>
    <w:sectPr w:rsidR="009E1744">
      <w:type w:val="continuous"/>
      <w:pgSz w:w="11900" w:h="16840"/>
      <w:pgMar w:top="1092" w:right="1383" w:bottom="848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A9" w:rsidRDefault="006E43A9">
      <w:r>
        <w:separator/>
      </w:r>
    </w:p>
  </w:endnote>
  <w:endnote w:type="continuationSeparator" w:id="0">
    <w:p w:rsidR="006E43A9" w:rsidRDefault="006E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44" w:rsidRDefault="006E43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10126980</wp:posOffset>
              </wp:positionV>
              <wp:extent cx="121285" cy="939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93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E1744" w:rsidRDefault="006E43A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B16E1" w:rsidRPr="006B16E1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508.4pt;margin-top:797.4pt;width:9.55pt;height:7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" filled="f" stroked="f">
              <v:textbox style="mso-fit-shape-to-text:t" inset="0,0,0,0">
                <w:txbxContent>
                  <w:p w:rsidR="009E1744" w:rsidRDefault="006E43A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B16E1" w:rsidRPr="006B16E1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44" w:rsidRDefault="009E174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A9" w:rsidRDefault="006E43A9"/>
  </w:footnote>
  <w:footnote w:type="continuationSeparator" w:id="0">
    <w:p w:rsidR="006E43A9" w:rsidRDefault="006E43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69F"/>
    <w:multiLevelType w:val="multilevel"/>
    <w:tmpl w:val="41A6F87A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2106D"/>
    <w:multiLevelType w:val="multilevel"/>
    <w:tmpl w:val="8D1E357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A21A18"/>
    <w:multiLevelType w:val="multilevel"/>
    <w:tmpl w:val="7EF618E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41ECE"/>
    <w:multiLevelType w:val="multilevel"/>
    <w:tmpl w:val="E3F85AD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B8177C"/>
    <w:multiLevelType w:val="multilevel"/>
    <w:tmpl w:val="4290E0C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BB2977"/>
    <w:multiLevelType w:val="multilevel"/>
    <w:tmpl w:val="CC2098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4A3291"/>
    <w:multiLevelType w:val="multilevel"/>
    <w:tmpl w:val="528EA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51A56"/>
    <w:multiLevelType w:val="multilevel"/>
    <w:tmpl w:val="3ADC94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647736"/>
    <w:multiLevelType w:val="multilevel"/>
    <w:tmpl w:val="556476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E734D9"/>
    <w:multiLevelType w:val="multilevel"/>
    <w:tmpl w:val="403CB9B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413E62"/>
    <w:multiLevelType w:val="multilevel"/>
    <w:tmpl w:val="F47274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D4C90"/>
    <w:multiLevelType w:val="multilevel"/>
    <w:tmpl w:val="D9F880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9C67CB"/>
    <w:multiLevelType w:val="multilevel"/>
    <w:tmpl w:val="683AD024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3738A"/>
    <w:multiLevelType w:val="multilevel"/>
    <w:tmpl w:val="76D8B1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376C0F"/>
    <w:multiLevelType w:val="multilevel"/>
    <w:tmpl w:val="6EB8FBB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3D1FBB"/>
    <w:multiLevelType w:val="multilevel"/>
    <w:tmpl w:val="043257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887EBF"/>
    <w:multiLevelType w:val="multilevel"/>
    <w:tmpl w:val="4FA86F02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382AFF"/>
    <w:multiLevelType w:val="multilevel"/>
    <w:tmpl w:val="6AB28A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C8380C"/>
    <w:multiLevelType w:val="multilevel"/>
    <w:tmpl w:val="EBA822B8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817C62"/>
    <w:multiLevelType w:val="multilevel"/>
    <w:tmpl w:val="2760076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BF725A"/>
    <w:multiLevelType w:val="multilevel"/>
    <w:tmpl w:val="5F2C8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10"/>
  </w:num>
  <w:num w:numId="5">
    <w:abstractNumId w:val="12"/>
  </w:num>
  <w:num w:numId="6">
    <w:abstractNumId w:val="15"/>
  </w:num>
  <w:num w:numId="7">
    <w:abstractNumId w:val="13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8"/>
  </w:num>
  <w:num w:numId="13">
    <w:abstractNumId w:val="11"/>
  </w:num>
  <w:num w:numId="14">
    <w:abstractNumId w:val="17"/>
  </w:num>
  <w:num w:numId="15">
    <w:abstractNumId w:val="14"/>
  </w:num>
  <w:num w:numId="16">
    <w:abstractNumId w:val="8"/>
  </w:num>
  <w:num w:numId="17">
    <w:abstractNumId w:val="1"/>
  </w:num>
  <w:num w:numId="18">
    <w:abstractNumId w:val="6"/>
  </w:num>
  <w:num w:numId="19">
    <w:abstractNumId w:val="16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44"/>
    <w:rsid w:val="00184A77"/>
    <w:rsid w:val="006B16E1"/>
    <w:rsid w:val="006E43A9"/>
    <w:rsid w:val="009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B02"/>
  <w15:docId w15:val="{F6A01C87-A012-40AE-8EB4-B83930DA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left="1400"/>
      <w:outlineLvl w:val="0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4261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kopirka1.PK-20191022153853</vt:lpstr>
    </vt:vector>
  </TitlesOfParts>
  <Company/>
  <LinksUpToDate>false</LinksUpToDate>
  <CharactersWithSpaces>29348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kopirka1.PK-20191022153853</dc:title>
  <dc:subject/>
  <dc:creator/>
  <cp:keywords/>
  <cp:lastModifiedBy>Zdenka Šímová</cp:lastModifiedBy>
  <cp:revision>2</cp:revision>
  <dcterms:created xsi:type="dcterms:W3CDTF">2019-10-22T13:51:00Z</dcterms:created>
  <dcterms:modified xsi:type="dcterms:W3CDTF">2019-10-22T14:03:00Z</dcterms:modified>
</cp:coreProperties>
</file>