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7CA" w:rsidRDefault="00B12F09">
      <w:pPr>
        <w:spacing w:after="0" w:line="259" w:lineRule="auto"/>
        <w:ind w:left="0" w:right="482" w:firstLine="0"/>
        <w:jc w:val="right"/>
      </w:pPr>
      <w:bookmarkStart w:id="0" w:name="_GoBack"/>
      <w:bookmarkEnd w:id="0"/>
      <w:r>
        <w:rPr>
          <w:noProof/>
        </w:rPr>
        <w:drawing>
          <wp:anchor distT="0" distB="0" distL="114300" distR="114300" simplePos="0" relativeHeight="251658240" behindDoc="0" locked="0" layoutInCell="1" allowOverlap="0">
            <wp:simplePos x="0" y="0"/>
            <wp:positionH relativeFrom="column">
              <wp:posOffset>-201167</wp:posOffset>
            </wp:positionH>
            <wp:positionV relativeFrom="paragraph">
              <wp:posOffset>-255118</wp:posOffset>
            </wp:positionV>
            <wp:extent cx="1179576" cy="813461"/>
            <wp:effectExtent l="0" t="0" r="0" b="0"/>
            <wp:wrapSquare wrapText="bothSides"/>
            <wp:docPr id="47211" name="Picture 47211"/>
            <wp:cNvGraphicFramePr/>
            <a:graphic xmlns:a="http://schemas.openxmlformats.org/drawingml/2006/main">
              <a:graphicData uri="http://schemas.openxmlformats.org/drawingml/2006/picture">
                <pic:pic xmlns:pic="http://schemas.openxmlformats.org/drawingml/2006/picture">
                  <pic:nvPicPr>
                    <pic:cNvPr id="47211" name="Picture 47211"/>
                    <pic:cNvPicPr/>
                  </pic:nvPicPr>
                  <pic:blipFill>
                    <a:blip r:embed="rId7"/>
                    <a:stretch>
                      <a:fillRect/>
                    </a:stretch>
                  </pic:blipFill>
                  <pic:spPr>
                    <a:xfrm>
                      <a:off x="0" y="0"/>
                      <a:ext cx="1179576" cy="813461"/>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3300984</wp:posOffset>
            </wp:positionH>
            <wp:positionV relativeFrom="paragraph">
              <wp:posOffset>-17478</wp:posOffset>
            </wp:positionV>
            <wp:extent cx="969264" cy="507271"/>
            <wp:effectExtent l="0" t="0" r="0" b="0"/>
            <wp:wrapSquare wrapText="bothSides"/>
            <wp:docPr id="47213" name="Picture 47213"/>
            <wp:cNvGraphicFramePr/>
            <a:graphic xmlns:a="http://schemas.openxmlformats.org/drawingml/2006/main">
              <a:graphicData uri="http://schemas.openxmlformats.org/drawingml/2006/picture">
                <pic:pic xmlns:pic="http://schemas.openxmlformats.org/drawingml/2006/picture">
                  <pic:nvPicPr>
                    <pic:cNvPr id="47213" name="Picture 47213"/>
                    <pic:cNvPicPr/>
                  </pic:nvPicPr>
                  <pic:blipFill>
                    <a:blip r:embed="rId8"/>
                    <a:stretch>
                      <a:fillRect/>
                    </a:stretch>
                  </pic:blipFill>
                  <pic:spPr>
                    <a:xfrm>
                      <a:off x="0" y="0"/>
                      <a:ext cx="969264" cy="507271"/>
                    </a:xfrm>
                    <a:prstGeom prst="rect">
                      <a:avLst/>
                    </a:prstGeom>
                  </pic:spPr>
                </pic:pic>
              </a:graphicData>
            </a:graphic>
          </wp:anchor>
        </w:drawing>
      </w:r>
      <w:r>
        <w:rPr>
          <w:rFonts w:ascii="Times New Roman" w:eastAsia="Times New Roman" w:hAnsi="Times New Roman" w:cs="Times New Roman"/>
          <w:sz w:val="32"/>
        </w:rPr>
        <w:t>EVROPSKÁ UNIEMINISTERSTVO</w:t>
      </w:r>
    </w:p>
    <w:p w:rsidR="00CD67CA" w:rsidRDefault="00B12F09">
      <w:pPr>
        <w:spacing w:after="0" w:line="216" w:lineRule="auto"/>
        <w:ind w:left="1447" w:right="886" w:firstLine="130"/>
      </w:pPr>
      <w:r>
        <w:rPr>
          <w:rFonts w:ascii="Times New Roman" w:eastAsia="Times New Roman" w:hAnsi="Times New Roman" w:cs="Times New Roman"/>
          <w:sz w:val="20"/>
        </w:rPr>
        <w:t>Evropský fond pro regionální rozvojPRO MÍSTNÍ Integrovaný regionální operační programROZVOJ CR SMLOUVA O DÍLO Č. 1004 - MOU - MUL UČE</w:t>
      </w:r>
    </w:p>
    <w:p w:rsidR="00CD67CA" w:rsidRDefault="00B12F09">
      <w:pPr>
        <w:spacing w:after="0" w:line="259" w:lineRule="auto"/>
        <w:ind w:left="0" w:right="223" w:firstLine="0"/>
        <w:jc w:val="center"/>
      </w:pPr>
      <w:r>
        <w:rPr>
          <w:rFonts w:ascii="Times New Roman" w:eastAsia="Times New Roman" w:hAnsi="Times New Roman" w:cs="Times New Roman"/>
          <w:sz w:val="28"/>
        </w:rPr>
        <w:t>1.</w:t>
      </w:r>
    </w:p>
    <w:p w:rsidR="00CD67CA" w:rsidRDefault="00B12F09">
      <w:pPr>
        <w:spacing w:after="325" w:line="259" w:lineRule="auto"/>
        <w:ind w:left="10" w:right="194" w:hanging="10"/>
        <w:jc w:val="center"/>
      </w:pPr>
      <w:r>
        <w:rPr>
          <w:rFonts w:ascii="Times New Roman" w:eastAsia="Times New Roman" w:hAnsi="Times New Roman" w:cs="Times New Roman"/>
          <w:sz w:val="28"/>
        </w:rPr>
        <w:t>Smluvní strany</w:t>
      </w:r>
    </w:p>
    <w:tbl>
      <w:tblPr>
        <w:tblStyle w:val="TableGrid"/>
        <w:tblpPr w:vertAnchor="text" w:tblpX="6542" w:tblpY="-449"/>
        <w:tblOverlap w:val="never"/>
        <w:tblW w:w="3130" w:type="dxa"/>
        <w:tblInd w:w="0" w:type="dxa"/>
        <w:tblCellMar>
          <w:top w:w="52" w:type="dxa"/>
          <w:left w:w="68" w:type="dxa"/>
          <w:bottom w:w="0" w:type="dxa"/>
          <w:right w:w="82" w:type="dxa"/>
        </w:tblCellMar>
        <w:tblLook w:val="04A0" w:firstRow="1" w:lastRow="0" w:firstColumn="1" w:lastColumn="0" w:noHBand="0" w:noVBand="1"/>
      </w:tblPr>
      <w:tblGrid>
        <w:gridCol w:w="3130"/>
      </w:tblGrid>
      <w:tr w:rsidR="00CD67CA">
        <w:trPr>
          <w:trHeight w:val="1922"/>
        </w:trPr>
        <w:tc>
          <w:tcPr>
            <w:tcW w:w="3130" w:type="dxa"/>
            <w:tcBorders>
              <w:top w:val="single" w:sz="2" w:space="0" w:color="000000"/>
              <w:left w:val="single" w:sz="2" w:space="0" w:color="000000"/>
              <w:bottom w:val="single" w:sz="2" w:space="0" w:color="000000"/>
              <w:right w:val="single" w:sz="2" w:space="0" w:color="000000"/>
            </w:tcBorders>
          </w:tcPr>
          <w:p w:rsidR="00CD67CA" w:rsidRDefault="00B12F09">
            <w:pPr>
              <w:spacing w:after="107" w:line="228" w:lineRule="auto"/>
              <w:ind w:left="526" w:right="0" w:hanging="526"/>
            </w:pPr>
            <w:r>
              <w:rPr>
                <w:rFonts w:ascii="Times New Roman" w:eastAsia="Times New Roman" w:hAnsi="Times New Roman" w:cs="Times New Roman"/>
                <w:sz w:val="16"/>
              </w:rPr>
              <w:t>Školní statek, Opava, příspevková organizace Englišova 526, 746 Ol Opava</w:t>
            </w:r>
          </w:p>
          <w:p w:rsidR="00CD67CA" w:rsidRDefault="00B12F09">
            <w:pPr>
              <w:tabs>
                <w:tab w:val="right" w:pos="2981"/>
              </w:tabs>
              <w:spacing w:after="175" w:line="259" w:lineRule="auto"/>
              <w:ind w:left="0" w:right="0" w:firstLine="0"/>
              <w:jc w:val="left"/>
            </w:pPr>
            <w:r>
              <w:rPr>
                <w:rFonts w:ascii="Times New Roman" w:eastAsia="Times New Roman" w:hAnsi="Times New Roman" w:cs="Times New Roman"/>
                <w:sz w:val="16"/>
              </w:rPr>
              <w:t xml:space="preserve">Číslo R Pôúy•. </w:t>
            </w:r>
            <w:r>
              <w:rPr>
                <w:rFonts w:ascii="Times New Roman" w:eastAsia="Times New Roman" w:hAnsi="Times New Roman" w:cs="Times New Roman"/>
                <w:sz w:val="16"/>
              </w:rPr>
              <w:tab/>
              <w:t>Přílohy: .................</w:t>
            </w:r>
          </w:p>
          <w:p w:rsidR="00CD67CA" w:rsidRDefault="00B12F09">
            <w:pPr>
              <w:spacing w:after="278" w:line="259" w:lineRule="auto"/>
              <w:ind w:left="7" w:right="0" w:firstLine="0"/>
              <w:jc w:val="left"/>
            </w:pPr>
            <w:r>
              <w:rPr>
                <w:noProof/>
              </w:rPr>
              <w:drawing>
                <wp:anchor distT="0" distB="0" distL="114300" distR="114300" simplePos="0" relativeHeight="251660288" behindDoc="0" locked="0" layoutInCell="1" allowOverlap="0">
                  <wp:simplePos x="0" y="0"/>
                  <wp:positionH relativeFrom="column">
                    <wp:posOffset>266890</wp:posOffset>
                  </wp:positionH>
                  <wp:positionV relativeFrom="paragraph">
                    <wp:posOffset>-38345</wp:posOffset>
                  </wp:positionV>
                  <wp:extent cx="1668780" cy="635230"/>
                  <wp:effectExtent l="0" t="0" r="0" b="0"/>
                  <wp:wrapSquare wrapText="bothSides"/>
                  <wp:docPr id="47215" name="Picture 47215"/>
                  <wp:cNvGraphicFramePr/>
                  <a:graphic xmlns:a="http://schemas.openxmlformats.org/drawingml/2006/main">
                    <a:graphicData uri="http://schemas.openxmlformats.org/drawingml/2006/picture">
                      <pic:pic xmlns:pic="http://schemas.openxmlformats.org/drawingml/2006/picture">
                        <pic:nvPicPr>
                          <pic:cNvPr id="47215" name="Picture 47215"/>
                          <pic:cNvPicPr/>
                        </pic:nvPicPr>
                        <pic:blipFill>
                          <a:blip r:embed="rId9"/>
                          <a:stretch>
                            <a:fillRect/>
                          </a:stretch>
                        </pic:blipFill>
                        <pic:spPr>
                          <a:xfrm>
                            <a:off x="0" y="0"/>
                            <a:ext cx="1668780" cy="635230"/>
                          </a:xfrm>
                          <a:prstGeom prst="rect">
                            <a:avLst/>
                          </a:prstGeom>
                        </pic:spPr>
                      </pic:pic>
                    </a:graphicData>
                  </a:graphic>
                </wp:anchor>
              </w:drawing>
            </w:r>
            <w:r>
              <w:rPr>
                <w:rFonts w:ascii="Times New Roman" w:eastAsia="Times New Roman" w:hAnsi="Times New Roman" w:cs="Times New Roman"/>
                <w:sz w:val="16"/>
              </w:rPr>
              <w:t>Došlo dne:</w:t>
            </w:r>
          </w:p>
          <w:p w:rsidR="00CD67CA" w:rsidRDefault="00B12F09">
            <w:pPr>
              <w:spacing w:after="103" w:line="259" w:lineRule="auto"/>
              <w:ind w:left="7" w:right="0" w:firstLine="0"/>
              <w:jc w:val="left"/>
            </w:pPr>
            <w:r>
              <w:rPr>
                <w:rFonts w:ascii="Times New Roman" w:eastAsia="Times New Roman" w:hAnsi="Times New Roman" w:cs="Times New Roman"/>
                <w:sz w:val="18"/>
              </w:rPr>
              <w:t xml:space="preserve">Č.j. </w:t>
            </w:r>
          </w:p>
          <w:p w:rsidR="00CD67CA" w:rsidRDefault="00B12F09">
            <w:pPr>
              <w:spacing w:after="0" w:line="259" w:lineRule="auto"/>
              <w:ind w:left="22" w:right="0" w:firstLine="0"/>
              <w:jc w:val="left"/>
            </w:pPr>
            <w:r>
              <w:rPr>
                <w:rFonts w:ascii="Times New Roman" w:eastAsia="Times New Roman" w:hAnsi="Times New Roman" w:cs="Times New Roman"/>
                <w:sz w:val="18"/>
              </w:rPr>
              <w:t>Spis. zn:</w:t>
            </w:r>
          </w:p>
        </w:tc>
      </w:tr>
    </w:tbl>
    <w:p w:rsidR="00CD67CA" w:rsidRDefault="00B12F09">
      <w:pPr>
        <w:numPr>
          <w:ilvl w:val="0"/>
          <w:numId w:val="1"/>
        </w:numPr>
        <w:spacing w:after="291" w:line="227" w:lineRule="auto"/>
        <w:ind w:right="1663" w:hanging="360"/>
        <w:jc w:val="left"/>
      </w:pPr>
      <w:r>
        <w:rPr>
          <w:rFonts w:ascii="Times New Roman" w:eastAsia="Times New Roman" w:hAnsi="Times New Roman" w:cs="Times New Roman"/>
        </w:rPr>
        <w:t>Školní statek, Opava, příspěvková organizace se sídlem: Englišova 526/95, 746 01 Opava zastoupen: Ing. Arnošt Klein, ředitel</w:t>
      </w:r>
    </w:p>
    <w:p w:rsidR="00CD67CA" w:rsidRDefault="00B12F09">
      <w:pPr>
        <w:tabs>
          <w:tab w:val="center" w:pos="630"/>
          <w:tab w:val="center" w:pos="3362"/>
        </w:tabs>
        <w:spacing w:after="15" w:line="259" w:lineRule="auto"/>
        <w:ind w:left="0" w:right="0" w:firstLine="0"/>
        <w:jc w:val="left"/>
      </w:pPr>
      <w:r>
        <w:rPr>
          <w:rFonts w:ascii="Times New Roman" w:eastAsia="Times New Roman" w:hAnsi="Times New Roman" w:cs="Times New Roman"/>
        </w:rPr>
        <w:tab/>
        <w:t>IČO:</w:t>
      </w:r>
      <w:r>
        <w:rPr>
          <w:rFonts w:ascii="Times New Roman" w:eastAsia="Times New Roman" w:hAnsi="Times New Roman" w:cs="Times New Roman"/>
        </w:rPr>
        <w:tab/>
        <w:t>00098752</w:t>
      </w:r>
    </w:p>
    <w:p w:rsidR="00CD67CA" w:rsidRDefault="00B12F09">
      <w:pPr>
        <w:tabs>
          <w:tab w:val="center" w:pos="630"/>
          <w:tab w:val="center" w:pos="3553"/>
        </w:tabs>
        <w:spacing w:after="4" w:line="255" w:lineRule="auto"/>
        <w:ind w:left="0" w:right="0" w:firstLine="0"/>
        <w:jc w:val="left"/>
      </w:pPr>
      <w:r>
        <w:rPr>
          <w:rFonts w:ascii="Times New Roman" w:eastAsia="Times New Roman" w:hAnsi="Times New Roman" w:cs="Times New Roman"/>
        </w:rPr>
        <w:tab/>
        <w:t>DIČ:</w:t>
      </w:r>
      <w:r>
        <w:rPr>
          <w:rFonts w:ascii="Times New Roman" w:eastAsia="Times New Roman" w:hAnsi="Times New Roman" w:cs="Times New Roman"/>
        </w:rPr>
        <w:tab/>
        <w:t>CZ700098752</w:t>
      </w:r>
    </w:p>
    <w:tbl>
      <w:tblPr>
        <w:tblStyle w:val="TableGrid"/>
        <w:tblW w:w="3866" w:type="dxa"/>
        <w:tblInd w:w="425" w:type="dxa"/>
        <w:tblCellMar>
          <w:top w:w="0" w:type="dxa"/>
          <w:left w:w="0" w:type="dxa"/>
          <w:bottom w:w="0" w:type="dxa"/>
          <w:right w:w="0" w:type="dxa"/>
        </w:tblCellMar>
        <w:tblLook w:val="04A0" w:firstRow="1" w:lastRow="0" w:firstColumn="1" w:lastColumn="0" w:noHBand="0" w:noVBand="1"/>
      </w:tblPr>
      <w:tblGrid>
        <w:gridCol w:w="2080"/>
        <w:gridCol w:w="1786"/>
      </w:tblGrid>
      <w:tr w:rsidR="00CD67CA">
        <w:trPr>
          <w:trHeight w:val="300"/>
        </w:trPr>
        <w:tc>
          <w:tcPr>
            <w:tcW w:w="2081" w:type="dxa"/>
            <w:tcBorders>
              <w:top w:val="nil"/>
              <w:left w:val="nil"/>
              <w:bottom w:val="nil"/>
              <w:right w:val="nil"/>
            </w:tcBorders>
          </w:tcPr>
          <w:p w:rsidR="00CD67CA" w:rsidRDefault="00B12F09">
            <w:pPr>
              <w:spacing w:after="0" w:line="259" w:lineRule="auto"/>
              <w:ind w:left="0" w:right="0" w:firstLine="0"/>
              <w:jc w:val="left"/>
            </w:pPr>
            <w:r>
              <w:rPr>
                <w:rFonts w:ascii="Times New Roman" w:eastAsia="Times New Roman" w:hAnsi="Times New Roman" w:cs="Times New Roman"/>
              </w:rPr>
              <w:t>bankovní spojení:</w:t>
            </w:r>
          </w:p>
        </w:tc>
        <w:tc>
          <w:tcPr>
            <w:tcW w:w="1786" w:type="dxa"/>
            <w:tcBorders>
              <w:top w:val="nil"/>
              <w:left w:val="nil"/>
              <w:bottom w:val="nil"/>
              <w:right w:val="nil"/>
            </w:tcBorders>
          </w:tcPr>
          <w:p w:rsidR="00CD67CA" w:rsidRDefault="00B12F09">
            <w:pPr>
              <w:spacing w:after="0" w:line="259" w:lineRule="auto"/>
              <w:ind w:left="382" w:right="0" w:firstLine="0"/>
              <w:jc w:val="left"/>
            </w:pPr>
            <w:r>
              <w:rPr>
                <w:rFonts w:ascii="Times New Roman" w:eastAsia="Times New Roman" w:hAnsi="Times New Roman" w:cs="Times New Roman"/>
                <w:sz w:val="26"/>
              </w:rPr>
              <w:t>ČSOB</w:t>
            </w:r>
          </w:p>
        </w:tc>
      </w:tr>
      <w:tr w:rsidR="00CD67CA">
        <w:trPr>
          <w:trHeight w:val="233"/>
        </w:trPr>
        <w:tc>
          <w:tcPr>
            <w:tcW w:w="2081" w:type="dxa"/>
            <w:tcBorders>
              <w:top w:val="nil"/>
              <w:left w:val="nil"/>
              <w:bottom w:val="nil"/>
              <w:right w:val="nil"/>
            </w:tcBorders>
          </w:tcPr>
          <w:p w:rsidR="00CD67CA" w:rsidRDefault="00B12F09">
            <w:pPr>
              <w:spacing w:after="0" w:line="259" w:lineRule="auto"/>
              <w:ind w:left="0" w:right="0" w:firstLine="0"/>
              <w:jc w:val="left"/>
            </w:pPr>
            <w:r>
              <w:rPr>
                <w:rFonts w:ascii="Times New Roman" w:eastAsia="Times New Roman" w:hAnsi="Times New Roman" w:cs="Times New Roman"/>
              </w:rPr>
              <w:t>číslo účtu:</w:t>
            </w:r>
          </w:p>
        </w:tc>
        <w:tc>
          <w:tcPr>
            <w:tcW w:w="1786" w:type="dxa"/>
            <w:tcBorders>
              <w:top w:val="nil"/>
              <w:left w:val="nil"/>
              <w:bottom w:val="nil"/>
              <w:right w:val="nil"/>
            </w:tcBorders>
          </w:tcPr>
          <w:p w:rsidR="00CD67CA" w:rsidRDefault="00B12F09">
            <w:pPr>
              <w:spacing w:after="0" w:line="259" w:lineRule="auto"/>
              <w:ind w:left="0" w:right="0" w:firstLine="0"/>
              <w:jc w:val="right"/>
            </w:pPr>
            <w:r>
              <w:rPr>
                <w:rFonts w:ascii="Times New Roman" w:eastAsia="Times New Roman" w:hAnsi="Times New Roman" w:cs="Times New Roman"/>
              </w:rPr>
              <w:t>1493601/0300</w:t>
            </w:r>
          </w:p>
        </w:tc>
      </w:tr>
    </w:tbl>
    <w:p w:rsidR="00CD67CA" w:rsidRDefault="00B12F09">
      <w:pPr>
        <w:spacing w:after="228" w:line="255" w:lineRule="auto"/>
        <w:ind w:left="81" w:right="172" w:hanging="10"/>
      </w:pPr>
      <w:r>
        <w:rPr>
          <w:rFonts w:ascii="Times New Roman" w:eastAsia="Times New Roman" w:hAnsi="Times New Roman" w:cs="Times New Roman"/>
        </w:rPr>
        <w:t>Osoby oprávněné jednat ve věcech technických — předmětu smlouvy:</w:t>
      </w:r>
    </w:p>
    <w:p w:rsidR="00CD67CA" w:rsidRDefault="00B12F09">
      <w:pPr>
        <w:spacing w:after="218" w:line="255" w:lineRule="auto"/>
        <w:ind w:left="81" w:right="172" w:hanging="10"/>
      </w:pPr>
      <w:r>
        <w:rPr>
          <w:rFonts w:ascii="Times New Roman" w:eastAsia="Times New Roman" w:hAnsi="Times New Roman" w:cs="Times New Roman"/>
        </w:rPr>
        <w:t>Osoba oprávněná jednat ve věcech — předmětu smlouvy:</w:t>
      </w:r>
    </w:p>
    <w:p w:rsidR="00CD67CA" w:rsidRDefault="00B12F09">
      <w:pPr>
        <w:spacing w:after="233" w:line="255" w:lineRule="auto"/>
        <w:ind w:left="81" w:right="172" w:hanging="10"/>
      </w:pPr>
      <w:r>
        <w:rPr>
          <w:rFonts w:ascii="Times New Roman" w:eastAsia="Times New Roman" w:hAnsi="Times New Roman" w:cs="Times New Roman"/>
        </w:rPr>
        <w:t>Mgr. Jiří Zapletal, e-mail: jiri.zapletal@zemedelka-opava.cz, tel. 608222709</w:t>
      </w:r>
    </w:p>
    <w:p w:rsidR="00CD67CA" w:rsidRDefault="00B12F09">
      <w:pPr>
        <w:spacing w:after="206" w:line="255" w:lineRule="auto"/>
        <w:ind w:left="81" w:right="172" w:hanging="10"/>
      </w:pPr>
      <w:r>
        <w:rPr>
          <w:rFonts w:ascii="Times New Roman" w:eastAsia="Times New Roman" w:hAnsi="Times New Roman" w:cs="Times New Roman"/>
        </w:rPr>
        <w:t>Ing. Vladimír Chmelař, e-mail: vladimir.chmelar@skstatek.cz, tel. 776222353</w:t>
      </w:r>
    </w:p>
    <w:p w:rsidR="00CD67CA" w:rsidRDefault="00B12F09">
      <w:pPr>
        <w:spacing w:after="190" w:line="259" w:lineRule="auto"/>
        <w:ind w:left="111" w:right="0" w:hanging="10"/>
        <w:jc w:val="left"/>
      </w:pPr>
      <w:r>
        <w:rPr>
          <w:rFonts w:ascii="Times New Roman" w:eastAsia="Times New Roman" w:hAnsi="Times New Roman" w:cs="Times New Roman"/>
        </w:rPr>
        <w:t>(dá/ejen „objednatel”)</w:t>
      </w:r>
    </w:p>
    <w:p w:rsidR="00CD67CA" w:rsidRDefault="00B12F09">
      <w:pPr>
        <w:spacing w:after="107" w:line="259" w:lineRule="auto"/>
        <w:ind w:left="86" w:right="0" w:firstLine="0"/>
        <w:jc w:val="left"/>
      </w:pPr>
      <w:r>
        <w:rPr>
          <w:rFonts w:ascii="Times New Roman" w:eastAsia="Times New Roman" w:hAnsi="Times New Roman" w:cs="Times New Roman"/>
          <w:sz w:val="32"/>
        </w:rPr>
        <w:t>a</w:t>
      </w:r>
    </w:p>
    <w:p w:rsidR="00CD67CA" w:rsidRDefault="00B12F09">
      <w:pPr>
        <w:numPr>
          <w:ilvl w:val="0"/>
          <w:numId w:val="1"/>
        </w:numPr>
        <w:spacing w:after="0" w:line="259" w:lineRule="auto"/>
        <w:ind w:right="1663" w:hanging="360"/>
        <w:jc w:val="left"/>
      </w:pPr>
      <w:r>
        <w:rPr>
          <w:rFonts w:ascii="Times New Roman" w:eastAsia="Times New Roman" w:hAnsi="Times New Roman" w:cs="Times New Roman"/>
          <w:sz w:val="28"/>
        </w:rPr>
        <w:t>Moderníškola s.r.o.</w:t>
      </w:r>
    </w:p>
    <w:tbl>
      <w:tblPr>
        <w:tblStyle w:val="TableGrid"/>
        <w:tblW w:w="6091" w:type="dxa"/>
        <w:tblInd w:w="446" w:type="dxa"/>
        <w:tblCellMar>
          <w:top w:w="0" w:type="dxa"/>
          <w:left w:w="0" w:type="dxa"/>
          <w:bottom w:w="0" w:type="dxa"/>
          <w:right w:w="0" w:type="dxa"/>
        </w:tblCellMar>
        <w:tblLook w:val="04A0" w:firstRow="1" w:lastRow="0" w:firstColumn="1" w:lastColumn="0" w:noHBand="0" w:noVBand="1"/>
      </w:tblPr>
      <w:tblGrid>
        <w:gridCol w:w="2290"/>
        <w:gridCol w:w="3801"/>
      </w:tblGrid>
      <w:tr w:rsidR="00CD67CA">
        <w:trPr>
          <w:trHeight w:val="257"/>
        </w:trPr>
        <w:tc>
          <w:tcPr>
            <w:tcW w:w="2290" w:type="dxa"/>
            <w:tcBorders>
              <w:top w:val="nil"/>
              <w:left w:val="nil"/>
              <w:bottom w:val="nil"/>
              <w:right w:val="nil"/>
            </w:tcBorders>
          </w:tcPr>
          <w:p w:rsidR="00CD67CA" w:rsidRDefault="00B12F09">
            <w:pPr>
              <w:spacing w:after="0" w:line="259" w:lineRule="auto"/>
              <w:ind w:left="0" w:right="0" w:firstLine="0"/>
              <w:jc w:val="left"/>
            </w:pPr>
            <w:r>
              <w:rPr>
                <w:rFonts w:ascii="Times New Roman" w:eastAsia="Times New Roman" w:hAnsi="Times New Roman" w:cs="Times New Roman"/>
              </w:rPr>
              <w:t>se sídlem:</w:t>
            </w:r>
          </w:p>
        </w:tc>
        <w:tc>
          <w:tcPr>
            <w:tcW w:w="3802" w:type="dxa"/>
            <w:tcBorders>
              <w:top w:val="nil"/>
              <w:left w:val="nil"/>
              <w:bottom w:val="nil"/>
              <w:right w:val="nil"/>
            </w:tcBorders>
          </w:tcPr>
          <w:p w:rsidR="00CD67CA" w:rsidRDefault="00B12F09">
            <w:pPr>
              <w:spacing w:after="0" w:line="259" w:lineRule="auto"/>
              <w:ind w:left="194" w:right="0" w:firstLine="0"/>
              <w:jc w:val="center"/>
            </w:pPr>
            <w:r>
              <w:rPr>
                <w:rFonts w:ascii="Times New Roman" w:eastAsia="Times New Roman" w:hAnsi="Times New Roman" w:cs="Times New Roman"/>
              </w:rPr>
              <w:t>K Rybníčkům 332, 747 81 Otice</w:t>
            </w:r>
          </w:p>
        </w:tc>
      </w:tr>
      <w:tr w:rsidR="00CD67CA">
        <w:trPr>
          <w:trHeight w:val="277"/>
        </w:trPr>
        <w:tc>
          <w:tcPr>
            <w:tcW w:w="2290" w:type="dxa"/>
            <w:tcBorders>
              <w:top w:val="nil"/>
              <w:left w:val="nil"/>
              <w:bottom w:val="nil"/>
              <w:right w:val="nil"/>
            </w:tcBorders>
          </w:tcPr>
          <w:p w:rsidR="00CD67CA" w:rsidRDefault="00B12F09">
            <w:pPr>
              <w:spacing w:after="0" w:line="259" w:lineRule="auto"/>
              <w:ind w:left="0" w:right="0" w:firstLine="0"/>
              <w:jc w:val="left"/>
            </w:pPr>
            <w:r>
              <w:rPr>
                <w:rFonts w:ascii="Times New Roman" w:eastAsia="Times New Roman" w:hAnsi="Times New Roman" w:cs="Times New Roman"/>
              </w:rPr>
              <w:t>zastoupena:</w:t>
            </w:r>
          </w:p>
        </w:tc>
        <w:tc>
          <w:tcPr>
            <w:tcW w:w="3802" w:type="dxa"/>
            <w:tcBorders>
              <w:top w:val="nil"/>
              <w:left w:val="nil"/>
              <w:bottom w:val="nil"/>
              <w:right w:val="nil"/>
            </w:tcBorders>
          </w:tcPr>
          <w:p w:rsidR="00CD67CA" w:rsidRDefault="00B12F09">
            <w:pPr>
              <w:spacing w:after="0" w:line="259" w:lineRule="auto"/>
              <w:ind w:left="0" w:right="0" w:firstLine="0"/>
              <w:jc w:val="right"/>
            </w:pPr>
            <w:r>
              <w:rPr>
                <w:rFonts w:ascii="Times New Roman" w:eastAsia="Times New Roman" w:hAnsi="Times New Roman" w:cs="Times New Roman"/>
              </w:rPr>
              <w:t>Jarmilou Branichovou, jednatelkou</w:t>
            </w:r>
          </w:p>
        </w:tc>
      </w:tr>
      <w:tr w:rsidR="00CD67CA">
        <w:trPr>
          <w:trHeight w:val="259"/>
        </w:trPr>
        <w:tc>
          <w:tcPr>
            <w:tcW w:w="2290" w:type="dxa"/>
            <w:tcBorders>
              <w:top w:val="nil"/>
              <w:left w:val="nil"/>
              <w:bottom w:val="nil"/>
              <w:right w:val="nil"/>
            </w:tcBorders>
          </w:tcPr>
          <w:p w:rsidR="00CD67CA" w:rsidRDefault="00B12F09">
            <w:pPr>
              <w:spacing w:after="0" w:line="259" w:lineRule="auto"/>
              <w:ind w:left="7" w:right="0" w:firstLine="0"/>
              <w:jc w:val="left"/>
            </w:pPr>
            <w:r>
              <w:rPr>
                <w:rFonts w:ascii="Times New Roman" w:eastAsia="Times New Roman" w:hAnsi="Times New Roman" w:cs="Times New Roman"/>
                <w:sz w:val="20"/>
              </w:rPr>
              <w:t>IČO:</w:t>
            </w:r>
          </w:p>
        </w:tc>
        <w:tc>
          <w:tcPr>
            <w:tcW w:w="3802" w:type="dxa"/>
            <w:tcBorders>
              <w:top w:val="nil"/>
              <w:left w:val="nil"/>
              <w:bottom w:val="nil"/>
              <w:right w:val="nil"/>
            </w:tcBorders>
          </w:tcPr>
          <w:p w:rsidR="00CD67CA" w:rsidRDefault="00B12F09">
            <w:pPr>
              <w:spacing w:after="0" w:line="259" w:lineRule="auto"/>
              <w:ind w:left="475" w:right="0" w:firstLine="0"/>
              <w:jc w:val="left"/>
            </w:pPr>
            <w:r>
              <w:rPr>
                <w:rFonts w:ascii="Times New Roman" w:eastAsia="Times New Roman" w:hAnsi="Times New Roman" w:cs="Times New Roman"/>
              </w:rPr>
              <w:t>28607376</w:t>
            </w:r>
          </w:p>
        </w:tc>
      </w:tr>
      <w:tr w:rsidR="00CD67CA">
        <w:trPr>
          <w:trHeight w:val="255"/>
        </w:trPr>
        <w:tc>
          <w:tcPr>
            <w:tcW w:w="2290" w:type="dxa"/>
            <w:tcBorders>
              <w:top w:val="nil"/>
              <w:left w:val="nil"/>
              <w:bottom w:val="nil"/>
              <w:right w:val="nil"/>
            </w:tcBorders>
          </w:tcPr>
          <w:p w:rsidR="00CD67CA" w:rsidRDefault="00B12F09">
            <w:pPr>
              <w:spacing w:after="0" w:line="259" w:lineRule="auto"/>
              <w:ind w:left="14" w:right="0" w:firstLine="0"/>
              <w:jc w:val="left"/>
            </w:pPr>
            <w:r>
              <w:rPr>
                <w:rFonts w:ascii="Times New Roman" w:eastAsia="Times New Roman" w:hAnsi="Times New Roman" w:cs="Times New Roman"/>
                <w:sz w:val="28"/>
              </w:rPr>
              <w:t>DIČ:</w:t>
            </w:r>
          </w:p>
        </w:tc>
        <w:tc>
          <w:tcPr>
            <w:tcW w:w="3802" w:type="dxa"/>
            <w:tcBorders>
              <w:top w:val="nil"/>
              <w:left w:val="nil"/>
              <w:bottom w:val="nil"/>
              <w:right w:val="nil"/>
            </w:tcBorders>
          </w:tcPr>
          <w:p w:rsidR="00CD67CA" w:rsidRDefault="00B12F09">
            <w:pPr>
              <w:spacing w:after="0" w:line="259" w:lineRule="auto"/>
              <w:ind w:left="468" w:right="0" w:firstLine="0"/>
              <w:jc w:val="left"/>
            </w:pPr>
            <w:r>
              <w:rPr>
                <w:rFonts w:ascii="Times New Roman" w:eastAsia="Times New Roman" w:hAnsi="Times New Roman" w:cs="Times New Roman"/>
              </w:rPr>
              <w:t>CZ28607376</w:t>
            </w:r>
          </w:p>
        </w:tc>
      </w:tr>
      <w:tr w:rsidR="00CD67CA">
        <w:trPr>
          <w:trHeight w:val="284"/>
        </w:trPr>
        <w:tc>
          <w:tcPr>
            <w:tcW w:w="2290" w:type="dxa"/>
            <w:tcBorders>
              <w:top w:val="nil"/>
              <w:left w:val="nil"/>
              <w:bottom w:val="nil"/>
              <w:right w:val="nil"/>
            </w:tcBorders>
          </w:tcPr>
          <w:p w:rsidR="00CD67CA" w:rsidRDefault="00B12F09">
            <w:pPr>
              <w:spacing w:after="0" w:line="259" w:lineRule="auto"/>
              <w:ind w:left="14" w:right="0" w:firstLine="0"/>
              <w:jc w:val="left"/>
            </w:pPr>
            <w:r>
              <w:rPr>
                <w:rFonts w:ascii="Times New Roman" w:eastAsia="Times New Roman" w:hAnsi="Times New Roman" w:cs="Times New Roman"/>
              </w:rPr>
              <w:t>bankovní spojení:</w:t>
            </w:r>
          </w:p>
        </w:tc>
        <w:tc>
          <w:tcPr>
            <w:tcW w:w="3802" w:type="dxa"/>
            <w:tcBorders>
              <w:top w:val="nil"/>
              <w:left w:val="nil"/>
              <w:bottom w:val="nil"/>
              <w:right w:val="nil"/>
            </w:tcBorders>
          </w:tcPr>
          <w:p w:rsidR="00CD67CA" w:rsidRDefault="00B12F09">
            <w:pPr>
              <w:spacing w:after="0" w:line="259" w:lineRule="auto"/>
              <w:ind w:left="482" w:right="0" w:firstLine="0"/>
              <w:jc w:val="left"/>
            </w:pPr>
            <w:r>
              <w:rPr>
                <w:rFonts w:ascii="Times New Roman" w:eastAsia="Times New Roman" w:hAnsi="Times New Roman" w:cs="Times New Roman"/>
              </w:rPr>
              <w:t>Raiffeisenbank, a.s.</w:t>
            </w:r>
          </w:p>
        </w:tc>
      </w:tr>
      <w:tr w:rsidR="00CD67CA">
        <w:trPr>
          <w:trHeight w:val="230"/>
        </w:trPr>
        <w:tc>
          <w:tcPr>
            <w:tcW w:w="2290" w:type="dxa"/>
            <w:tcBorders>
              <w:top w:val="nil"/>
              <w:left w:val="nil"/>
              <w:bottom w:val="nil"/>
              <w:right w:val="nil"/>
            </w:tcBorders>
          </w:tcPr>
          <w:p w:rsidR="00CD67CA" w:rsidRDefault="00B12F09">
            <w:pPr>
              <w:tabs>
                <w:tab w:val="center" w:pos="1210"/>
                <w:tab w:val="center" w:pos="1228"/>
              </w:tabs>
              <w:spacing w:after="0" w:line="259" w:lineRule="auto"/>
              <w:ind w:left="0" w:right="0" w:firstLine="0"/>
              <w:jc w:val="left"/>
            </w:pPr>
            <w:r>
              <w:rPr>
                <w:rFonts w:ascii="Times New Roman" w:eastAsia="Times New Roman" w:hAnsi="Times New Roman" w:cs="Times New Roman"/>
              </w:rPr>
              <w:t xml:space="preserve">číslo účtu: </w:t>
            </w:r>
            <w:r>
              <w:rPr>
                <w:noProof/>
              </w:rPr>
              <w:drawing>
                <wp:inline distT="0" distB="0" distL="0" distR="0">
                  <wp:extent cx="4572" cy="4570"/>
                  <wp:effectExtent l="0" t="0" r="0" b="0"/>
                  <wp:docPr id="2983" name="Picture 2983"/>
                  <wp:cNvGraphicFramePr/>
                  <a:graphic xmlns:a="http://schemas.openxmlformats.org/drawingml/2006/main">
                    <a:graphicData uri="http://schemas.openxmlformats.org/drawingml/2006/picture">
                      <pic:pic xmlns:pic="http://schemas.openxmlformats.org/drawingml/2006/picture">
                        <pic:nvPicPr>
                          <pic:cNvPr id="2983" name="Picture 2983"/>
                          <pic:cNvPicPr/>
                        </pic:nvPicPr>
                        <pic:blipFill>
                          <a:blip r:embed="rId10"/>
                          <a:stretch>
                            <a:fillRect/>
                          </a:stretch>
                        </pic:blipFill>
                        <pic:spPr>
                          <a:xfrm>
                            <a:off x="0" y="0"/>
                            <a:ext cx="4572" cy="4570"/>
                          </a:xfrm>
                          <a:prstGeom prst="rect">
                            <a:avLst/>
                          </a:prstGeom>
                        </pic:spPr>
                      </pic:pic>
                    </a:graphicData>
                  </a:graphic>
                </wp:inline>
              </w:drawing>
            </w:r>
            <w:r>
              <w:rPr>
                <w:rFonts w:ascii="Times New Roman" w:eastAsia="Times New Roman" w:hAnsi="Times New Roman" w:cs="Times New Roman"/>
              </w:rPr>
              <w:tab/>
            </w:r>
            <w:r>
              <w:rPr>
                <w:noProof/>
              </w:rPr>
              <w:drawing>
                <wp:inline distT="0" distB="0" distL="0" distR="0">
                  <wp:extent cx="9144" cy="13710"/>
                  <wp:effectExtent l="0" t="0" r="0" b="0"/>
                  <wp:docPr id="2982" name="Picture 2982"/>
                  <wp:cNvGraphicFramePr/>
                  <a:graphic xmlns:a="http://schemas.openxmlformats.org/drawingml/2006/main">
                    <a:graphicData uri="http://schemas.openxmlformats.org/drawingml/2006/picture">
                      <pic:pic xmlns:pic="http://schemas.openxmlformats.org/drawingml/2006/picture">
                        <pic:nvPicPr>
                          <pic:cNvPr id="2982" name="Picture 2982"/>
                          <pic:cNvPicPr/>
                        </pic:nvPicPr>
                        <pic:blipFill>
                          <a:blip r:embed="rId11"/>
                          <a:stretch>
                            <a:fillRect/>
                          </a:stretch>
                        </pic:blipFill>
                        <pic:spPr>
                          <a:xfrm>
                            <a:off x="0" y="0"/>
                            <a:ext cx="9144" cy="13710"/>
                          </a:xfrm>
                          <a:prstGeom prst="rect">
                            <a:avLst/>
                          </a:prstGeom>
                        </pic:spPr>
                      </pic:pic>
                    </a:graphicData>
                  </a:graphic>
                </wp:inline>
              </w:drawing>
            </w:r>
            <w:r>
              <w:rPr>
                <w:rFonts w:ascii="Times New Roman" w:eastAsia="Times New Roman" w:hAnsi="Times New Roman" w:cs="Times New Roman"/>
              </w:rPr>
              <w:tab/>
            </w:r>
            <w:r>
              <w:rPr>
                <w:noProof/>
              </w:rPr>
              <w:drawing>
                <wp:inline distT="0" distB="0" distL="0" distR="0">
                  <wp:extent cx="4572" cy="4570"/>
                  <wp:effectExtent l="0" t="0" r="0" b="0"/>
                  <wp:docPr id="2984" name="Picture 2984"/>
                  <wp:cNvGraphicFramePr/>
                  <a:graphic xmlns:a="http://schemas.openxmlformats.org/drawingml/2006/main">
                    <a:graphicData uri="http://schemas.openxmlformats.org/drawingml/2006/picture">
                      <pic:pic xmlns:pic="http://schemas.openxmlformats.org/drawingml/2006/picture">
                        <pic:nvPicPr>
                          <pic:cNvPr id="2984" name="Picture 2984"/>
                          <pic:cNvPicPr/>
                        </pic:nvPicPr>
                        <pic:blipFill>
                          <a:blip r:embed="rId12"/>
                          <a:stretch>
                            <a:fillRect/>
                          </a:stretch>
                        </pic:blipFill>
                        <pic:spPr>
                          <a:xfrm>
                            <a:off x="0" y="0"/>
                            <a:ext cx="4572" cy="4570"/>
                          </a:xfrm>
                          <a:prstGeom prst="rect">
                            <a:avLst/>
                          </a:prstGeom>
                        </pic:spPr>
                      </pic:pic>
                    </a:graphicData>
                  </a:graphic>
                </wp:inline>
              </w:drawing>
            </w:r>
          </w:p>
        </w:tc>
        <w:tc>
          <w:tcPr>
            <w:tcW w:w="3802" w:type="dxa"/>
            <w:tcBorders>
              <w:top w:val="nil"/>
              <w:left w:val="nil"/>
              <w:bottom w:val="nil"/>
              <w:right w:val="nil"/>
            </w:tcBorders>
          </w:tcPr>
          <w:p w:rsidR="00CD67CA" w:rsidRDefault="00B12F09">
            <w:pPr>
              <w:spacing w:after="0" w:line="259" w:lineRule="auto"/>
              <w:ind w:left="490" w:right="0" w:firstLine="0"/>
              <w:jc w:val="left"/>
            </w:pPr>
            <w:r>
              <w:rPr>
                <w:rFonts w:ascii="Times New Roman" w:eastAsia="Times New Roman" w:hAnsi="Times New Roman" w:cs="Times New Roman"/>
              </w:rPr>
              <w:t>1122211222/5500</w:t>
            </w:r>
          </w:p>
        </w:tc>
      </w:tr>
    </w:tbl>
    <w:p w:rsidR="00CD67CA" w:rsidRDefault="00B12F09">
      <w:pPr>
        <w:spacing w:after="4" w:line="255" w:lineRule="auto"/>
        <w:ind w:left="471" w:right="172" w:hanging="10"/>
      </w:pPr>
      <w:r>
        <w:rPr>
          <w:rFonts w:ascii="Times New Roman" w:eastAsia="Times New Roman" w:hAnsi="Times New Roman" w:cs="Times New Roman"/>
        </w:rPr>
        <w:t>Zapsána v obchodním rejstříku vedeném Krajským soudem v Ostravě, oddíl C, vložka</w:t>
      </w:r>
    </w:p>
    <w:p w:rsidR="00CD67CA" w:rsidRDefault="00B12F09">
      <w:pPr>
        <w:spacing w:after="136" w:line="259" w:lineRule="auto"/>
        <w:ind w:left="470" w:right="0" w:hanging="10"/>
        <w:jc w:val="left"/>
      </w:pPr>
      <w:r>
        <w:rPr>
          <w:rFonts w:ascii="Times New Roman" w:eastAsia="Times New Roman" w:hAnsi="Times New Roman" w:cs="Times New Roman"/>
        </w:rPr>
        <w:t>44394</w:t>
      </w:r>
    </w:p>
    <w:p w:rsidR="00CD67CA" w:rsidRDefault="00B12F09">
      <w:pPr>
        <w:spacing w:after="275" w:line="259" w:lineRule="auto"/>
        <w:ind w:left="470" w:right="0" w:hanging="10"/>
        <w:jc w:val="left"/>
      </w:pPr>
      <w:r>
        <w:rPr>
          <w:rFonts w:ascii="Times New Roman" w:eastAsia="Times New Roman" w:hAnsi="Times New Roman" w:cs="Times New Roman"/>
        </w:rPr>
        <w:t>(dá/e jen „zhotovitel”)</w:t>
      </w:r>
    </w:p>
    <w:p w:rsidR="00CD67CA" w:rsidRDefault="00B12F09">
      <w:pPr>
        <w:spacing w:after="0" w:line="259" w:lineRule="auto"/>
        <w:ind w:left="0" w:right="101" w:firstLine="0"/>
        <w:jc w:val="center"/>
      </w:pPr>
      <w:r>
        <w:rPr>
          <w:rFonts w:ascii="Times New Roman" w:eastAsia="Times New Roman" w:hAnsi="Times New Roman" w:cs="Times New Roman"/>
          <w:sz w:val="26"/>
        </w:rPr>
        <w:t>11.</w:t>
      </w:r>
    </w:p>
    <w:p w:rsidR="00CD67CA" w:rsidRDefault="00B12F09">
      <w:pPr>
        <w:spacing w:after="68" w:line="259" w:lineRule="auto"/>
        <w:ind w:left="10" w:right="79" w:hanging="10"/>
        <w:jc w:val="center"/>
      </w:pPr>
      <w:r>
        <w:rPr>
          <w:rFonts w:ascii="Times New Roman" w:eastAsia="Times New Roman" w:hAnsi="Times New Roman" w:cs="Times New Roman"/>
          <w:sz w:val="28"/>
        </w:rPr>
        <w:t>Základní ustanovení</w:t>
      </w:r>
    </w:p>
    <w:p w:rsidR="00CD67CA" w:rsidRDefault="00B12F09">
      <w:pPr>
        <w:numPr>
          <w:ilvl w:val="0"/>
          <w:numId w:val="2"/>
        </w:numPr>
        <w:spacing w:after="145" w:line="255" w:lineRule="auto"/>
        <w:ind w:right="172" w:hanging="346"/>
      </w:pPr>
      <w:r>
        <w:rPr>
          <w:rFonts w:ascii="Times New Roman" w:eastAsia="Times New Roman" w:hAnsi="Times New Roman" w:cs="Times New Roman"/>
        </w:rPr>
        <w:t>Tato smlouva je uzavřena dle S 2586 a násl. zákona č. 89/2012 Sb., občanský zákoník, ve znění pozdějších předpisů (dále jen „občanský zákoník"); práva a povinnosti stran touto smlouvou neupravená se řídí příslušnými ustanoveními občanského zákoníku.</w:t>
      </w:r>
    </w:p>
    <w:p w:rsidR="00CD67CA" w:rsidRDefault="00B12F09">
      <w:pPr>
        <w:numPr>
          <w:ilvl w:val="0"/>
          <w:numId w:val="2"/>
        </w:numPr>
        <w:spacing w:after="821" w:line="255" w:lineRule="auto"/>
        <w:ind w:right="172" w:hanging="346"/>
      </w:pPr>
      <w:r>
        <w:rPr>
          <w:rFonts w:ascii="Times New Roman" w:eastAsia="Times New Roman" w:hAnsi="Times New Roman" w:cs="Times New Roman"/>
        </w:rPr>
        <w:t>Smluvn</w:t>
      </w:r>
      <w:r>
        <w:rPr>
          <w:rFonts w:ascii="Times New Roman" w:eastAsia="Times New Roman" w:hAnsi="Times New Roman" w:cs="Times New Roman"/>
        </w:rPr>
        <w:t>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w:t>
      </w:r>
      <w:r>
        <w:rPr>
          <w:rFonts w:ascii="Times New Roman" w:eastAsia="Times New Roman" w:hAnsi="Times New Roman" w:cs="Times New Roman"/>
        </w:rPr>
        <w:t>ch stran včetně změny účtu není nutné uzavírat ke smlouvě dodatek.</w:t>
      </w:r>
    </w:p>
    <w:p w:rsidR="00CD67CA" w:rsidRDefault="00B12F09">
      <w:pPr>
        <w:spacing w:after="0" w:line="259" w:lineRule="auto"/>
        <w:ind w:left="4997" w:right="0" w:firstLine="0"/>
        <w:jc w:val="center"/>
      </w:pPr>
      <w:r>
        <w:rPr>
          <w:rFonts w:ascii="Times New Roman" w:eastAsia="Times New Roman" w:hAnsi="Times New Roman" w:cs="Times New Roman"/>
          <w:sz w:val="16"/>
          <w:vertAlign w:val="superscript"/>
        </w:rPr>
        <w:lastRenderedPageBreak/>
        <w:t>u</w:t>
      </w:r>
    </w:p>
    <w:p w:rsidR="00CD67CA" w:rsidRDefault="00B12F09">
      <w:pPr>
        <w:spacing w:after="139" w:line="219" w:lineRule="auto"/>
        <w:ind w:left="627" w:right="-1" w:hanging="1505"/>
      </w:pPr>
      <w:r>
        <w:rPr>
          <w:noProof/>
        </w:rPr>
        <w:drawing>
          <wp:inline distT="0" distB="0" distL="0" distR="0">
            <wp:extent cx="768096" cy="900291"/>
            <wp:effectExtent l="0" t="0" r="0" b="0"/>
            <wp:docPr id="6192" name="Picture 6192"/>
            <wp:cNvGraphicFramePr/>
            <a:graphic xmlns:a="http://schemas.openxmlformats.org/drawingml/2006/main">
              <a:graphicData uri="http://schemas.openxmlformats.org/drawingml/2006/picture">
                <pic:pic xmlns:pic="http://schemas.openxmlformats.org/drawingml/2006/picture">
                  <pic:nvPicPr>
                    <pic:cNvPr id="6192" name="Picture 6192"/>
                    <pic:cNvPicPr/>
                  </pic:nvPicPr>
                  <pic:blipFill>
                    <a:blip r:embed="rId13"/>
                    <a:stretch>
                      <a:fillRect/>
                    </a:stretch>
                  </pic:blipFill>
                  <pic:spPr>
                    <a:xfrm>
                      <a:off x="0" y="0"/>
                      <a:ext cx="768096" cy="900291"/>
                    </a:xfrm>
                    <a:prstGeom prst="rect">
                      <a:avLst/>
                    </a:prstGeom>
                  </pic:spPr>
                </pic:pic>
              </a:graphicData>
            </a:graphic>
          </wp:inline>
        </w:drawing>
      </w:r>
      <w:r>
        <w:t>3. Je-li zhotovitel plátcem DPH, prohlašuje, že bankovní účet uvedený v čl. I odst. 2 této smlouvy je bankovním účtem zveřejněným ve smyslu zákona č. 235/2004 Sb., o dani z přidané hodno</w:t>
      </w:r>
      <w:r>
        <w:t xml:space="preserve">ty, ve znění pozdějších předpisů (dále jen „zákon o DPH”). V případě změny účtu zhotovitele je zhotovitel povinen doložit vlastnictví k novému účtu, a to kopií příslušné smlouvy nebo potvrzením peněžního ústavu; je-li zhotovitel plátcem DPH, musí být nový </w:t>
      </w:r>
      <w:r>
        <w:t>účet zveřejněným účtem ve smyslu předchozí věty.</w:t>
      </w:r>
    </w:p>
    <w:p w:rsidR="00CD67CA" w:rsidRDefault="00B12F09">
      <w:pPr>
        <w:numPr>
          <w:ilvl w:val="0"/>
          <w:numId w:val="3"/>
        </w:numPr>
        <w:spacing w:after="146" w:line="219" w:lineRule="auto"/>
        <w:ind w:right="-1" w:hanging="353"/>
      </w:pPr>
      <w:r>
        <w:t>Smluvní strany prohlašují, že osoby podepisující tuto smlouvu jsou k tomuto jednání oprávněny.</w:t>
      </w:r>
    </w:p>
    <w:p w:rsidR="00CD67CA" w:rsidRDefault="00B12F09">
      <w:pPr>
        <w:numPr>
          <w:ilvl w:val="0"/>
          <w:numId w:val="3"/>
        </w:numPr>
        <w:spacing w:after="169" w:line="219" w:lineRule="auto"/>
        <w:ind w:right="-1" w:hanging="353"/>
      </w:pPr>
      <w:r>
        <w:t>Zhotovitel prohlašuje, že je odborně způsobilý k zajištění předmětu plnění podle této smlouvy.</w:t>
      </w:r>
    </w:p>
    <w:p w:rsidR="00CD67CA" w:rsidRDefault="00B12F09">
      <w:pPr>
        <w:numPr>
          <w:ilvl w:val="0"/>
          <w:numId w:val="3"/>
        </w:numPr>
        <w:spacing w:after="61" w:line="219" w:lineRule="auto"/>
        <w:ind w:right="-1" w:hanging="353"/>
      </w:pPr>
      <w:r>
        <w:t>Zhotovitel potvrz</w:t>
      </w:r>
      <w:r>
        <w:t xml:space="preserve">uje, že si prostudoval a detailně se seznámil se zadávacími podmínkami a jsou mu známy veškeré technické, kvalitativní a jiné podmínky nezbytné k realizaci díla a že disponuje takovými kapacitami a odbornými znalostmi, které jsou nezbytné k realizaci díla </w:t>
      </w:r>
      <w:r>
        <w:t>za dohodnutou smluvní cenu uvedenou v článku IV odst. 1 této smlouvy.</w:t>
      </w:r>
    </w:p>
    <w:p w:rsidR="00CD67CA" w:rsidRDefault="00B12F09">
      <w:pPr>
        <w:numPr>
          <w:ilvl w:val="0"/>
          <w:numId w:val="3"/>
        </w:numPr>
        <w:spacing w:after="953" w:line="219" w:lineRule="auto"/>
        <w:ind w:right="-1" w:hanging="353"/>
      </w:pPr>
      <w:r>
        <w:t>Zhotovitel prohlašuje, že není obchodní společností, ve které veřejný funkcionář uvedený v S 2 odst. 1 písm. c) zákona č. 159/2006 Sb., o střetu zájmů, ve znění pozdějších předpisů (člen vlády nebo vedoucí jiného ústředního správního úřadu, v jehož čele ne</w:t>
      </w:r>
      <w:r>
        <w:t>ní člen vlády), nebo jím ovládaná osoba vlastní podíl představující alespoň 25% účast společníka v obchodní společnosti. Zhotovitel bere na vědomí, že pokud je uvedené prohlášení nepravdivé, bude smlouva považována za neplatnou.</w:t>
      </w:r>
    </w:p>
    <w:p w:rsidR="00CD67CA" w:rsidRDefault="00B12F09">
      <w:pPr>
        <w:spacing w:after="0" w:line="259" w:lineRule="auto"/>
        <w:ind w:left="223" w:right="0" w:firstLine="0"/>
        <w:jc w:val="center"/>
      </w:pPr>
      <w:r>
        <w:t>111.</w:t>
      </w:r>
    </w:p>
    <w:p w:rsidR="00CD67CA" w:rsidRDefault="00B12F09">
      <w:pPr>
        <w:pStyle w:val="Heading1"/>
      </w:pPr>
      <w:r>
        <w:t>Předmět smlouvy</w:t>
      </w:r>
    </w:p>
    <w:p w:rsidR="00CD67CA" w:rsidRDefault="00B12F09">
      <w:pPr>
        <w:numPr>
          <w:ilvl w:val="0"/>
          <w:numId w:val="4"/>
        </w:numPr>
        <w:spacing w:after="95" w:line="219" w:lineRule="auto"/>
        <w:ind w:left="622" w:right="-1"/>
      </w:pPr>
      <w:r>
        <w:t>Zhotov</w:t>
      </w:r>
      <w:r>
        <w:t>itel se zavazuje provést na svůj náklad a nebezpečí pro objednatele dílo spočívající ve výrobě, dodávce, instalaci a montáži nábytku a IT vybavení multimediální učebny, a to včetně návodů k použití v českém jazyce a včetně zajištění potřebného SW, technick</w:t>
      </w:r>
      <w:r>
        <w:t>ého vybavení, informačních a prezentačních technologií, zajištění napojení takto vybudované učebny tak, aby učebna tvořila funkční celek (dále jen „dílo). Bližší specifikace díla je přílohou č. 1 této smlouvy.</w:t>
      </w:r>
    </w:p>
    <w:p w:rsidR="00CD67CA" w:rsidRDefault="00B12F09">
      <w:pPr>
        <w:numPr>
          <w:ilvl w:val="0"/>
          <w:numId w:val="4"/>
        </w:numPr>
        <w:spacing w:after="165" w:line="219" w:lineRule="auto"/>
        <w:ind w:left="622" w:right="-1"/>
      </w:pPr>
      <w:r>
        <w:t xml:space="preserve">Součástí dila je také dodání software, včetně </w:t>
      </w:r>
      <w:r>
        <w:t>potřebného počtu licencí dle přílohy č. 1 této smlouvy. Zhotovitel se zavazuje poskytnout objednateli v souladu s příslušnými ustanoveními občanského zákoníku licence k užití software specifikovaného v této smlouvě. Licenci k software zhotovitel uděluje ob</w:t>
      </w:r>
      <w:r>
        <w:t>jednateli ve smyslu S 2358 a násl. zákona č. 89/2012 Sb., občanský zákoník, tj. oprávnění k výkonu práva software užít v územně a množstevně neomezeném rozsahu po dobu trvání majetkových práv. Odměna za poskytnutí licence je součástí ceny za dílo podle uje</w:t>
      </w:r>
      <w:r>
        <w:t>dnání v čl. IV této smlouvy.</w:t>
      </w:r>
    </w:p>
    <w:p w:rsidR="00CD67CA" w:rsidRDefault="00B12F09">
      <w:pPr>
        <w:numPr>
          <w:ilvl w:val="0"/>
          <w:numId w:val="4"/>
        </w:numPr>
        <w:spacing w:after="95" w:line="219" w:lineRule="auto"/>
        <w:ind w:left="622" w:right="-1"/>
      </w:pPr>
      <w:r>
        <w:t>Objednatel se zavazuje provedené dílo bez vad a nedodělků převzít a zaplatit za ně zhotoviteli cenu podle čl. IV této smlouvy.</w:t>
      </w:r>
    </w:p>
    <w:p w:rsidR="00CD67CA" w:rsidRDefault="00B12F09">
      <w:pPr>
        <w:numPr>
          <w:ilvl w:val="0"/>
          <w:numId w:val="4"/>
        </w:numPr>
        <w:spacing w:after="128" w:line="219" w:lineRule="auto"/>
        <w:ind w:left="622" w:right="-1"/>
      </w:pPr>
      <w:r>
        <w:t xml:space="preserve">Účelem této smlouvy je doplnění stávajícího vybavení multimediální učebny ve Školním statku, Opava, </w:t>
      </w:r>
      <w:r>
        <w:t>příspěvkové organizaci zřizované Moravskoslezským krajem v rámci realizace projektu „Modernizace odborných učeben ve Školním statku Opava", registrační číslo projektu: a.06.2.67/o.0/o.0/16_066/0010581.</w:t>
      </w:r>
    </w:p>
    <w:p w:rsidR="00CD67CA" w:rsidRDefault="00B12F09">
      <w:pPr>
        <w:numPr>
          <w:ilvl w:val="0"/>
          <w:numId w:val="4"/>
        </w:numPr>
        <w:spacing w:after="600" w:line="219" w:lineRule="auto"/>
        <w:ind w:left="622" w:right="-1"/>
      </w:pPr>
      <w:r>
        <w:t>Projekt je spolufinancován ze strukturálních fondů Evr</w:t>
      </w:r>
      <w:r>
        <w:t>opské unie z Integrovaného regionálního operačního programu v rámci výzvy č. 66 (prioritní osa 2 Zkvalitnění</w:t>
      </w:r>
    </w:p>
    <w:p w:rsidR="00CD67CA" w:rsidRDefault="00B12F09">
      <w:pPr>
        <w:spacing w:after="0" w:line="259" w:lineRule="auto"/>
        <w:ind w:left="828" w:right="0" w:firstLine="0"/>
        <w:jc w:val="left"/>
      </w:pPr>
      <w:r>
        <w:rPr>
          <w:sz w:val="16"/>
        </w:rPr>
        <w:t xml:space="preserve">wbavenĺ </w:t>
      </w:r>
    </w:p>
    <w:p w:rsidR="00CD67CA" w:rsidRDefault="00B12F09">
      <w:pPr>
        <w:spacing w:after="0"/>
        <w:ind w:left="338" w:hanging="7"/>
      </w:pPr>
      <w:r>
        <w:t>veřejných služeb a podmínek života pro obyvatele regionů, specifický cíl Zvýšení kvality a dostupnosti infrastruktury pro vzdělávání a cel</w:t>
      </w:r>
      <w:r>
        <w:t>oživotní učení). Zhotovitel bere na vědomí, že předmětem této smlouvy jsou aktivity a výstupy, které budou tvořit součást projektu spolufinancovaného Evropskou unií v rámci IROP.</w:t>
      </w:r>
    </w:p>
    <w:p w:rsidR="00CD67CA" w:rsidRDefault="00B12F09">
      <w:pPr>
        <w:spacing w:after="345" w:line="259" w:lineRule="auto"/>
        <w:ind w:left="5731" w:right="0" w:firstLine="0"/>
        <w:jc w:val="left"/>
      </w:pPr>
      <w:r>
        <w:rPr>
          <w:noProof/>
        </w:rPr>
        <w:drawing>
          <wp:inline distT="0" distB="0" distL="0" distR="0">
            <wp:extent cx="13716" cy="9140"/>
            <wp:effectExtent l="0" t="0" r="0" b="0"/>
            <wp:docPr id="8764" name="Picture 8764"/>
            <wp:cNvGraphicFramePr/>
            <a:graphic xmlns:a="http://schemas.openxmlformats.org/drawingml/2006/main">
              <a:graphicData uri="http://schemas.openxmlformats.org/drawingml/2006/picture">
                <pic:pic xmlns:pic="http://schemas.openxmlformats.org/drawingml/2006/picture">
                  <pic:nvPicPr>
                    <pic:cNvPr id="8764" name="Picture 8764"/>
                    <pic:cNvPicPr/>
                  </pic:nvPicPr>
                  <pic:blipFill>
                    <a:blip r:embed="rId14"/>
                    <a:stretch>
                      <a:fillRect/>
                    </a:stretch>
                  </pic:blipFill>
                  <pic:spPr>
                    <a:xfrm>
                      <a:off x="0" y="0"/>
                      <a:ext cx="13716" cy="9140"/>
                    </a:xfrm>
                    <a:prstGeom prst="rect">
                      <a:avLst/>
                    </a:prstGeom>
                  </pic:spPr>
                </pic:pic>
              </a:graphicData>
            </a:graphic>
          </wp:inline>
        </w:drawing>
      </w:r>
    </w:p>
    <w:p w:rsidR="00CD67CA" w:rsidRDefault="00B12F09">
      <w:pPr>
        <w:spacing w:after="0" w:line="259" w:lineRule="auto"/>
        <w:ind w:left="75" w:right="410" w:hanging="10"/>
        <w:jc w:val="center"/>
      </w:pPr>
      <w:r>
        <w:rPr>
          <w:sz w:val="36"/>
        </w:rPr>
        <w:t>IV.</w:t>
      </w:r>
    </w:p>
    <w:p w:rsidR="00CD67CA" w:rsidRDefault="00B12F09">
      <w:pPr>
        <w:spacing w:after="68" w:line="259" w:lineRule="auto"/>
        <w:ind w:left="125" w:right="439" w:hanging="10"/>
        <w:jc w:val="center"/>
      </w:pPr>
      <w:r>
        <w:rPr>
          <w:sz w:val="28"/>
        </w:rPr>
        <w:t>Cena za dílo</w:t>
      </w:r>
    </w:p>
    <w:p w:rsidR="00CD67CA" w:rsidRDefault="00B12F09">
      <w:pPr>
        <w:numPr>
          <w:ilvl w:val="0"/>
          <w:numId w:val="5"/>
        </w:numPr>
        <w:ind w:right="274" w:hanging="353"/>
      </w:pPr>
      <w:r>
        <w:t>Cena za dílo činí:</w:t>
      </w:r>
    </w:p>
    <w:tbl>
      <w:tblPr>
        <w:tblStyle w:val="TableGrid"/>
        <w:tblW w:w="7053" w:type="dxa"/>
        <w:tblInd w:w="1001" w:type="dxa"/>
        <w:tblCellMar>
          <w:top w:w="0" w:type="dxa"/>
          <w:left w:w="29" w:type="dxa"/>
          <w:bottom w:w="0" w:type="dxa"/>
          <w:right w:w="33" w:type="dxa"/>
        </w:tblCellMar>
        <w:tblLook w:val="04A0" w:firstRow="1" w:lastRow="0" w:firstColumn="1" w:lastColumn="0" w:noHBand="0" w:noVBand="1"/>
      </w:tblPr>
      <w:tblGrid>
        <w:gridCol w:w="7053"/>
      </w:tblGrid>
      <w:tr w:rsidR="00CD67CA">
        <w:trPr>
          <w:trHeight w:val="2047"/>
        </w:trPr>
        <w:tc>
          <w:tcPr>
            <w:tcW w:w="7053" w:type="dxa"/>
            <w:tcBorders>
              <w:top w:val="nil"/>
              <w:left w:val="single" w:sz="2" w:space="0" w:color="000000"/>
              <w:bottom w:val="single" w:sz="2" w:space="0" w:color="000000"/>
              <w:right w:val="single" w:sz="2" w:space="0" w:color="000000"/>
            </w:tcBorders>
            <w:vAlign w:val="bottom"/>
          </w:tcPr>
          <w:p w:rsidR="00CD67CA" w:rsidRDefault="00B12F09">
            <w:pPr>
              <w:tabs>
                <w:tab w:val="right" w:pos="6991"/>
              </w:tabs>
              <w:spacing w:after="0" w:line="259" w:lineRule="auto"/>
              <w:ind w:left="0" w:right="0" w:firstLine="0"/>
              <w:jc w:val="left"/>
            </w:pPr>
            <w:r>
              <w:rPr>
                <w:noProof/>
              </w:rPr>
              <w:drawing>
                <wp:anchor distT="0" distB="0" distL="114300" distR="114300" simplePos="0" relativeHeight="251661312" behindDoc="0" locked="0" layoutInCell="1" allowOverlap="0">
                  <wp:simplePos x="0" y="0"/>
                  <wp:positionH relativeFrom="column">
                    <wp:posOffset>18288</wp:posOffset>
                  </wp:positionH>
                  <wp:positionV relativeFrom="paragraph">
                    <wp:posOffset>-1048000</wp:posOffset>
                  </wp:positionV>
                  <wp:extent cx="4439412" cy="1037391"/>
                  <wp:effectExtent l="0" t="0" r="0" b="0"/>
                  <wp:wrapSquare wrapText="bothSides"/>
                  <wp:docPr id="47217" name="Picture 47217"/>
                  <wp:cNvGraphicFramePr/>
                  <a:graphic xmlns:a="http://schemas.openxmlformats.org/drawingml/2006/main">
                    <a:graphicData uri="http://schemas.openxmlformats.org/drawingml/2006/picture">
                      <pic:pic xmlns:pic="http://schemas.openxmlformats.org/drawingml/2006/picture">
                        <pic:nvPicPr>
                          <pic:cNvPr id="47217" name="Picture 47217"/>
                          <pic:cNvPicPr/>
                        </pic:nvPicPr>
                        <pic:blipFill>
                          <a:blip r:embed="rId15"/>
                          <a:stretch>
                            <a:fillRect/>
                          </a:stretch>
                        </pic:blipFill>
                        <pic:spPr>
                          <a:xfrm>
                            <a:off x="0" y="0"/>
                            <a:ext cx="4439412" cy="1037391"/>
                          </a:xfrm>
                          <a:prstGeom prst="rect">
                            <a:avLst/>
                          </a:prstGeom>
                        </pic:spPr>
                      </pic:pic>
                    </a:graphicData>
                  </a:graphic>
                </wp:anchor>
              </w:drawing>
            </w:r>
            <w:r>
              <w:rPr>
                <w:sz w:val="28"/>
              </w:rPr>
              <w:t>Cena celkem včetně DPH</w:t>
            </w:r>
            <w:r>
              <w:rPr>
                <w:sz w:val="28"/>
              </w:rPr>
              <w:tab/>
              <w:t>1 915 243,66 Kč</w:t>
            </w:r>
          </w:p>
          <w:p w:rsidR="00CD67CA" w:rsidRDefault="00B12F09">
            <w:pPr>
              <w:spacing w:after="0" w:line="259" w:lineRule="auto"/>
              <w:ind w:left="1332" w:right="0" w:firstLine="0"/>
              <w:jc w:val="left"/>
            </w:pPr>
            <w:r>
              <w:rPr>
                <w:noProof/>
              </w:rPr>
              <w:drawing>
                <wp:inline distT="0" distB="0" distL="0" distR="0">
                  <wp:extent cx="4572" cy="9140"/>
                  <wp:effectExtent l="0" t="0" r="0" b="0"/>
                  <wp:docPr id="8630" name="Picture 8630"/>
                  <wp:cNvGraphicFramePr/>
                  <a:graphic xmlns:a="http://schemas.openxmlformats.org/drawingml/2006/main">
                    <a:graphicData uri="http://schemas.openxmlformats.org/drawingml/2006/picture">
                      <pic:pic xmlns:pic="http://schemas.openxmlformats.org/drawingml/2006/picture">
                        <pic:nvPicPr>
                          <pic:cNvPr id="8630" name="Picture 8630"/>
                          <pic:cNvPicPr/>
                        </pic:nvPicPr>
                        <pic:blipFill>
                          <a:blip r:embed="rId16"/>
                          <a:stretch>
                            <a:fillRect/>
                          </a:stretch>
                        </pic:blipFill>
                        <pic:spPr>
                          <a:xfrm>
                            <a:off x="0" y="0"/>
                            <a:ext cx="4572" cy="9140"/>
                          </a:xfrm>
                          <a:prstGeom prst="rect">
                            <a:avLst/>
                          </a:prstGeom>
                        </pic:spPr>
                      </pic:pic>
                    </a:graphicData>
                  </a:graphic>
                </wp:inline>
              </w:drawing>
            </w:r>
          </w:p>
        </w:tc>
      </w:tr>
    </w:tbl>
    <w:p w:rsidR="00CD67CA" w:rsidRDefault="00B12F09">
      <w:pPr>
        <w:spacing w:after="14" w:line="352" w:lineRule="auto"/>
        <w:ind w:left="360" w:right="14" w:firstLine="7"/>
      </w:pPr>
      <w:r>
        <w:t>(slovy: jedenmilióndevětsetpatnácttisícdvěstěčtyřicettři korun českých šedesátšest halířů). Podrobná specifikace a rozpis ceny za dílo je přílohou č. 1 této smlouvy.</w:t>
      </w:r>
    </w:p>
    <w:p w:rsidR="00CD67CA" w:rsidRDefault="00B12F09">
      <w:pPr>
        <w:numPr>
          <w:ilvl w:val="0"/>
          <w:numId w:val="5"/>
        </w:numPr>
        <w:ind w:right="274" w:hanging="353"/>
      </w:pPr>
      <w:r>
        <w:t>Cena za Cillo podle odst. 1 tohoto článku smlouvy zahrnuje veškeré náklady zhotovitele spojené se splněním jeho závazku z této smlouvy, tj. cenu díla včetně dopravného, práce technika, instalace a montáže apod. Cena za dílo je stanovena jako nejvýše přípus</w:t>
      </w:r>
      <w:r>
        <w:t>tná a není ji možno překročit.</w:t>
      </w:r>
    </w:p>
    <w:p w:rsidR="00CD67CA" w:rsidRDefault="00B12F09">
      <w:pPr>
        <w:numPr>
          <w:ilvl w:val="0"/>
          <w:numId w:val="5"/>
        </w:numPr>
        <w:spacing w:after="541"/>
        <w:ind w:right="274" w:hanging="353"/>
      </w:pPr>
      <w:r>
        <w:t>Je-li zhotovitel plátcem DPH, odpovídá za to, že sazba daně z přidané hodnoty bude stanovena v souladu s platnými právními předpisy; v případě, že dojde ke změně zákonné sazby DPH, je zhotovitel k ceně díla bez DPH povinen úč</w:t>
      </w:r>
      <w:r>
        <w:t>tovat DPH v platné výši. Smluvní strany se dohodly, že v případě změny ceny díla v důsledku změny sazby DPH není nutno ke smlouvě uzavírat dodatek. V případě, že zhotovitel stanoví sazbu DPH či DPH v rozporu s platnými právními předpisy, je povinen uhradit</w:t>
      </w:r>
      <w:r>
        <w:t xml:space="preserve"> objednateli veškerou škodu, která mu v souvislosti s tím vznikla.</w:t>
      </w:r>
    </w:p>
    <w:p w:rsidR="00CD67CA" w:rsidRDefault="00B12F09">
      <w:pPr>
        <w:spacing w:after="0" w:line="259" w:lineRule="auto"/>
        <w:ind w:left="125" w:right="346" w:hanging="10"/>
        <w:jc w:val="center"/>
      </w:pPr>
      <w:r>
        <w:rPr>
          <w:sz w:val="28"/>
        </w:rPr>
        <w:t>Místo a doba plnění</w:t>
      </w:r>
    </w:p>
    <w:p w:rsidR="00CD67CA" w:rsidRDefault="00B12F09">
      <w:pPr>
        <w:numPr>
          <w:ilvl w:val="0"/>
          <w:numId w:val="6"/>
        </w:numPr>
        <w:spacing w:after="103"/>
        <w:ind w:right="14" w:hanging="432"/>
      </w:pPr>
      <w:r>
        <w:t>Zhotovitel je povinen provést a předat objednateli dílo v místě plnění — Školní statek, Opava, příspěvková organizace, Opava, Englišova 526/95.</w:t>
      </w:r>
    </w:p>
    <w:p w:rsidR="00CD67CA" w:rsidRDefault="00B12F09">
      <w:pPr>
        <w:numPr>
          <w:ilvl w:val="0"/>
          <w:numId w:val="6"/>
        </w:numPr>
        <w:spacing w:after="108"/>
        <w:ind w:right="14" w:hanging="432"/>
      </w:pPr>
      <w:r>
        <w:t>Zhotovitel je povinen pro</w:t>
      </w:r>
      <w:r>
        <w:t>vést dílo do 60 dnů od nabytí účinnosti této smlouvy.</w:t>
      </w:r>
    </w:p>
    <w:p w:rsidR="00CD67CA" w:rsidRDefault="00B12F09">
      <w:pPr>
        <w:numPr>
          <w:ilvl w:val="0"/>
          <w:numId w:val="6"/>
        </w:numPr>
        <w:spacing w:after="80"/>
        <w:ind w:right="14" w:hanging="432"/>
      </w:pPr>
      <w:r>
        <w:t>Dílo je provedeno, je-li dokončeno a předáno objednateli. Smluvní strany se dohodly, že objednatel není povinen dílo převzít, pokud toto vykazuje vady či nedodělky.</w:t>
      </w:r>
    </w:p>
    <w:p w:rsidR="00CD67CA" w:rsidRDefault="00B12F09">
      <w:pPr>
        <w:numPr>
          <w:ilvl w:val="0"/>
          <w:numId w:val="6"/>
        </w:numPr>
        <w:spacing w:after="2117"/>
        <w:ind w:right="14" w:hanging="432"/>
      </w:pPr>
      <w:r>
        <w:t>Případná změna místa plnění oznámená objednatelem, nemá vliv na cenu za dílo a není nutné uzavírat ke smlouvě dodatek.</w:t>
      </w:r>
    </w:p>
    <w:p w:rsidR="00CD67CA" w:rsidRDefault="00B12F09">
      <w:pPr>
        <w:spacing w:after="181" w:line="259" w:lineRule="auto"/>
        <w:ind w:left="5108" w:right="245" w:hanging="10"/>
        <w:jc w:val="center"/>
      </w:pPr>
      <w:r>
        <w:rPr>
          <w:sz w:val="16"/>
          <w:vertAlign w:val="superscript"/>
        </w:rPr>
        <w:t>n</w:t>
      </w:r>
    </w:p>
    <w:p w:rsidR="00CD67CA" w:rsidRDefault="00CD67CA">
      <w:pPr>
        <w:sectPr w:rsidR="00CD67CA">
          <w:footerReference w:type="even" r:id="rId17"/>
          <w:footerReference w:type="default" r:id="rId18"/>
          <w:footerReference w:type="first" r:id="rId19"/>
          <w:pgSz w:w="11563" w:h="16488"/>
          <w:pgMar w:top="259" w:right="950" w:bottom="360" w:left="1260" w:header="720" w:footer="353" w:gutter="0"/>
          <w:cols w:space="720"/>
        </w:sectPr>
      </w:pPr>
    </w:p>
    <w:p w:rsidR="00CD67CA" w:rsidRDefault="00B12F09">
      <w:pPr>
        <w:spacing w:after="0" w:line="259" w:lineRule="auto"/>
        <w:ind w:left="75" w:right="302" w:hanging="10"/>
        <w:jc w:val="center"/>
      </w:pPr>
      <w:r>
        <w:rPr>
          <w:sz w:val="36"/>
        </w:rPr>
        <w:t>Vl.</w:t>
      </w:r>
    </w:p>
    <w:p w:rsidR="00CD67CA" w:rsidRDefault="00B12F09">
      <w:pPr>
        <w:spacing w:after="0" w:line="259" w:lineRule="auto"/>
        <w:ind w:left="125" w:right="331" w:hanging="10"/>
        <w:jc w:val="center"/>
      </w:pPr>
      <w:r>
        <w:rPr>
          <w:sz w:val="28"/>
        </w:rPr>
        <w:t>Práva a povinnosti smluvních stran</w:t>
      </w:r>
    </w:p>
    <w:p w:rsidR="00CD67CA" w:rsidRDefault="00B12F09">
      <w:pPr>
        <w:numPr>
          <w:ilvl w:val="0"/>
          <w:numId w:val="7"/>
        </w:numPr>
        <w:spacing w:after="66"/>
        <w:ind w:right="14" w:hanging="353"/>
      </w:pPr>
      <w:r>
        <w:t>Není-li stanoveno touto smlouvou výslovně jinak, řídí se vzájemná práva a povinnosti smluvních stran ustanoveními S 2586 a následujícími občanského zákoníku.</w:t>
      </w:r>
    </w:p>
    <w:p w:rsidR="00CD67CA" w:rsidRDefault="00B12F09">
      <w:pPr>
        <w:numPr>
          <w:ilvl w:val="0"/>
          <w:numId w:val="7"/>
        </w:numPr>
        <w:ind w:right="14" w:hanging="353"/>
      </w:pPr>
      <w:r>
        <w:t>Zhotovitel je zejména povinen:</w:t>
      </w:r>
    </w:p>
    <w:p w:rsidR="00CD67CA" w:rsidRDefault="00B12F09">
      <w:pPr>
        <w:numPr>
          <w:ilvl w:val="1"/>
          <w:numId w:val="7"/>
        </w:numPr>
        <w:ind w:right="180"/>
      </w:pPr>
      <w:r>
        <w:t>Provést dílo řádně a včas za použití materiálu a postupů odpovídají</w:t>
      </w:r>
      <w:r>
        <w:t>cích právním předpisům a technickým normám ČR. Smluvní strany se dohodly na I. jakosti dila. Dílo musí odpovídat příslušným právním předpisům, normám nebo jiné dokumentaci vztahující se k provedení díla a umožňovat užívání, k němuž bylo určeno a zhotoveno.</w:t>
      </w:r>
    </w:p>
    <w:p w:rsidR="00CD67CA" w:rsidRDefault="00B12F09">
      <w:pPr>
        <w:numPr>
          <w:ilvl w:val="1"/>
          <w:numId w:val="7"/>
        </w:numPr>
        <w:ind w:right="180"/>
      </w:pPr>
      <w:r>
        <w:t>Řídit se při provádění díla pokyny objednatele.</w:t>
      </w:r>
    </w:p>
    <w:p w:rsidR="00CD67CA" w:rsidRDefault="00B12F09">
      <w:pPr>
        <w:numPr>
          <w:ilvl w:val="1"/>
          <w:numId w:val="7"/>
        </w:numPr>
        <w:spacing w:after="71"/>
        <w:ind w:right="180"/>
      </w:pPr>
      <w:r>
        <w:t>Umožnit objednateli kontrolu provádění díla. Pokud objednatel zjistí, že zhotovitel neprovádí dílo řádně či jinak porušuje svou povinnost, poskytne zhotoviteli lhůtu k nápravě; neučiní-li tak zhotovitel ve s</w:t>
      </w:r>
      <w:r>
        <w:t>tanovené lhůtě, je objednatel oprávněn od smlouvy odstoupit.</w:t>
      </w:r>
    </w:p>
    <w:p w:rsidR="00CD67CA" w:rsidRDefault="00B12F09">
      <w:pPr>
        <w:numPr>
          <w:ilvl w:val="1"/>
          <w:numId w:val="7"/>
        </w:numPr>
        <w:ind w:right="180"/>
      </w:pPr>
      <w:r>
        <w:t>Odstranit zjištěné vady a nedodělky na své náklady.</w:t>
      </w:r>
    </w:p>
    <w:p w:rsidR="00CD67CA" w:rsidRDefault="00B12F09">
      <w:pPr>
        <w:numPr>
          <w:ilvl w:val="1"/>
          <w:numId w:val="7"/>
        </w:numPr>
        <w:spacing w:after="84"/>
        <w:ind w:right="180"/>
      </w:pPr>
      <w:r>
        <w:t>Dbát při provádění díla dle této smlouvy na ochranu životního prostředí a dodržovat platné technické, bezpečnostní, zdravotní, hygienické a jin</w:t>
      </w:r>
      <w:r>
        <w:t>é předpisy, včetně předpisů týkajících se ochrany životního prostředí.</w:t>
      </w:r>
      <w:r>
        <w:rPr>
          <w:noProof/>
        </w:rPr>
        <w:drawing>
          <wp:inline distT="0" distB="0" distL="0" distR="0">
            <wp:extent cx="36576" cy="54840"/>
            <wp:effectExtent l="0" t="0" r="0" b="0"/>
            <wp:docPr id="47220" name="Picture 47220"/>
            <wp:cNvGraphicFramePr/>
            <a:graphic xmlns:a="http://schemas.openxmlformats.org/drawingml/2006/main">
              <a:graphicData uri="http://schemas.openxmlformats.org/drawingml/2006/picture">
                <pic:pic xmlns:pic="http://schemas.openxmlformats.org/drawingml/2006/picture">
                  <pic:nvPicPr>
                    <pic:cNvPr id="47220" name="Picture 47220"/>
                    <pic:cNvPicPr/>
                  </pic:nvPicPr>
                  <pic:blipFill>
                    <a:blip r:embed="rId20"/>
                    <a:stretch>
                      <a:fillRect/>
                    </a:stretch>
                  </pic:blipFill>
                  <pic:spPr>
                    <a:xfrm>
                      <a:off x="0" y="0"/>
                      <a:ext cx="36576" cy="54840"/>
                    </a:xfrm>
                    <a:prstGeom prst="rect">
                      <a:avLst/>
                    </a:prstGeom>
                  </pic:spPr>
                </pic:pic>
              </a:graphicData>
            </a:graphic>
          </wp:inline>
        </w:drawing>
      </w:r>
    </w:p>
    <w:p w:rsidR="00CD67CA" w:rsidRDefault="00B12F09">
      <w:pPr>
        <w:numPr>
          <w:ilvl w:val="1"/>
          <w:numId w:val="7"/>
        </w:numPr>
        <w:ind w:right="180"/>
      </w:pPr>
      <w:r>
        <w:rPr>
          <w:noProof/>
        </w:rPr>
        <w:drawing>
          <wp:anchor distT="0" distB="0" distL="114300" distR="114300" simplePos="0" relativeHeight="251662336" behindDoc="0" locked="0" layoutInCell="1" allowOverlap="0">
            <wp:simplePos x="0" y="0"/>
            <wp:positionH relativeFrom="page">
              <wp:posOffset>128016</wp:posOffset>
            </wp:positionH>
            <wp:positionV relativeFrom="page">
              <wp:posOffset>173660</wp:posOffset>
            </wp:positionV>
            <wp:extent cx="406908" cy="872871"/>
            <wp:effectExtent l="0" t="0" r="0" b="0"/>
            <wp:wrapSquare wrapText="bothSides"/>
            <wp:docPr id="12231" name="Picture 12231"/>
            <wp:cNvGraphicFramePr/>
            <a:graphic xmlns:a="http://schemas.openxmlformats.org/drawingml/2006/main">
              <a:graphicData uri="http://schemas.openxmlformats.org/drawingml/2006/picture">
                <pic:pic xmlns:pic="http://schemas.openxmlformats.org/drawingml/2006/picture">
                  <pic:nvPicPr>
                    <pic:cNvPr id="12231" name="Picture 12231"/>
                    <pic:cNvPicPr/>
                  </pic:nvPicPr>
                  <pic:blipFill>
                    <a:blip r:embed="rId21"/>
                    <a:stretch>
                      <a:fillRect/>
                    </a:stretch>
                  </pic:blipFill>
                  <pic:spPr>
                    <a:xfrm>
                      <a:off x="0" y="0"/>
                      <a:ext cx="406908" cy="872871"/>
                    </a:xfrm>
                    <a:prstGeom prst="rect">
                      <a:avLst/>
                    </a:prstGeom>
                  </pic:spPr>
                </pic:pic>
              </a:graphicData>
            </a:graphic>
          </wp:anchor>
        </w:drawing>
      </w:r>
      <w:r>
        <w:t>Dohodnout s objednatelem termín dodávky, instalace, montáže a souvisejících prací. Konkrétní den a hodinu, kdy bude zahájena realizace díla v místě plnění dle čl. V odst. 1 této smlou</w:t>
      </w:r>
      <w:r>
        <w:t>vy, je zhotovitel povinen objednateli sdělit písemně (za písemnou formu je v tomto případě považováno i sdělení prostřednictvím datové schránky nebo e-mailem na kontaktní email — bude doplněno před podpisem smlouvy) minimálně 5 kalendářních dnů předem.</w:t>
      </w:r>
    </w:p>
    <w:p w:rsidR="00CD67CA" w:rsidRDefault="00B12F09">
      <w:pPr>
        <w:numPr>
          <w:ilvl w:val="1"/>
          <w:numId w:val="7"/>
        </w:numPr>
        <w:spacing w:after="76"/>
        <w:ind w:right="180"/>
      </w:pPr>
      <w:r>
        <w:t>Doh</w:t>
      </w:r>
      <w:r>
        <w:t xml:space="preserve">odnout se předem, tj. před započetím instalace a montáže, s objednatelem na umístění dodaného nábytku a IT a umístit jej dle jeho pokynů. Zhotovitel je povinen předem zaměřit umístění nábytku v místě dodání (instalace). Případná drobná odchylka rozměrů od </w:t>
      </w:r>
      <w:r>
        <w:t>specifikace dle skutečného zaměření odsouhlaseného objednatelem nemá vliv na cenu za dílo a není potřeba uzavírat dodatek k této smlouvě (jedná se o položky, kde je podle přílohy č. I stanovená možná tolerance rozměrů). O zaměření bude zpracován detailní z</w:t>
      </w:r>
      <w:r>
        <w:t>ápis s uvedením umístění a rozměrů nábytku, který je předmětem zaměření (tzn. těch položek, u kterých je zaměření nezbytné). Bez předchozí dohody s objednatelem a bez zaměření umístění nábytku je objednatel oprávněn odmítnout převzetí díla.</w:t>
      </w:r>
    </w:p>
    <w:p w:rsidR="00CD67CA" w:rsidRDefault="00B12F09">
      <w:pPr>
        <w:numPr>
          <w:ilvl w:val="1"/>
          <w:numId w:val="7"/>
        </w:numPr>
        <w:spacing w:after="132"/>
        <w:ind w:right="180"/>
      </w:pPr>
      <w:r>
        <w:t>V případech, kd</w:t>
      </w:r>
      <w:r>
        <w:t xml:space="preserve">y není barevnost provedení v příloze č. 1 této smlouvy určena, projednat s objednatelem před dodáním nábytku návrh jeho možného barevného </w:t>
      </w:r>
      <w:r>
        <w:rPr>
          <w:noProof/>
        </w:rPr>
        <w:drawing>
          <wp:inline distT="0" distB="0" distL="0" distR="0">
            <wp:extent cx="13716" cy="22850"/>
            <wp:effectExtent l="0" t="0" r="0" b="0"/>
            <wp:docPr id="12147" name="Picture 12147"/>
            <wp:cNvGraphicFramePr/>
            <a:graphic xmlns:a="http://schemas.openxmlformats.org/drawingml/2006/main">
              <a:graphicData uri="http://schemas.openxmlformats.org/drawingml/2006/picture">
                <pic:pic xmlns:pic="http://schemas.openxmlformats.org/drawingml/2006/picture">
                  <pic:nvPicPr>
                    <pic:cNvPr id="12147" name="Picture 12147"/>
                    <pic:cNvPicPr/>
                  </pic:nvPicPr>
                  <pic:blipFill>
                    <a:blip r:embed="rId22"/>
                    <a:stretch>
                      <a:fillRect/>
                    </a:stretch>
                  </pic:blipFill>
                  <pic:spPr>
                    <a:xfrm>
                      <a:off x="0" y="0"/>
                      <a:ext cx="13716" cy="22850"/>
                    </a:xfrm>
                    <a:prstGeom prst="rect">
                      <a:avLst/>
                    </a:prstGeom>
                  </pic:spPr>
                </pic:pic>
              </a:graphicData>
            </a:graphic>
          </wp:inline>
        </w:drawing>
      </w:r>
      <w:r>
        <w:t xml:space="preserve">provedení dle požadavků definovaných v příloze č. 1 této smlouvy (ve stejné cenové kategorii - za nabízenou cenu dle </w:t>
      </w:r>
      <w:r>
        <w:t>čl. IV odst. 1 této smlouvy) a nechat si tento návrh objednatelem odsouhlasit. Bez předchozího odsouhlasení návrhu barevného provedení nábytku objednatelem není objednatel povinen dílo převzít.</w:t>
      </w:r>
    </w:p>
    <w:p w:rsidR="00CD67CA" w:rsidRDefault="00B12F09">
      <w:pPr>
        <w:numPr>
          <w:ilvl w:val="1"/>
          <w:numId w:val="7"/>
        </w:numPr>
        <w:spacing w:after="0"/>
        <w:ind w:right="180"/>
      </w:pPr>
      <w:r>
        <w:t>V případě znečištění prostor instalace a montáže nábytku a IT,</w:t>
      </w:r>
      <w:r>
        <w:t xml:space="preserve"> včetně rozvodů provádět průběžně úklid a prostory uvést vždy do původního stavu.</w:t>
      </w:r>
    </w:p>
    <w:p w:rsidR="00CD67CA" w:rsidRDefault="00B12F09">
      <w:pPr>
        <w:numPr>
          <w:ilvl w:val="1"/>
          <w:numId w:val="7"/>
        </w:numPr>
        <w:ind w:right="180"/>
      </w:pPr>
      <w:r>
        <w:t xml:space="preserve">Vytvořit zaměstnancům nebo zmocněncům poskytovatele dotace, Ministerstvu pro místní rozvoj, Ministerstvu financí, auditnímu orgánu či pověřenému auditnímu subjektu, Evropské </w:t>
      </w:r>
      <w:r>
        <w:t>komisi, Evropskému účetnímu dvoru, Nejvyššímu kontrolnímu úřadu a dalším oprávněným orgánům státní správy podmínky k provedení kontroly vztahující se k realizaci projektu, poskytnout veškeré doklady vážící se k realizaci projektu, umožnit průběžné ověřován</w:t>
      </w:r>
      <w:r>
        <w:t>í souladu údajů o realizaci projektu uváděných ve zprávách o realizaci projektu se skutečným stavem v místě jeho realizace</w:t>
      </w:r>
    </w:p>
    <w:p w:rsidR="00CD67CA" w:rsidRDefault="00B12F09">
      <w:pPr>
        <w:ind w:left="842" w:right="14" w:firstLine="0"/>
      </w:pPr>
      <w:r>
        <w:t>a poskytnout součinnost všem osobám oprávněným k provádění kontroly, umožnit vstup na pozemky dotčené projektem a jeho realizací.</w:t>
      </w:r>
    </w:p>
    <w:p w:rsidR="00CD67CA" w:rsidRDefault="00B12F09">
      <w:pPr>
        <w:numPr>
          <w:ilvl w:val="1"/>
          <w:numId w:val="7"/>
        </w:numPr>
        <w:spacing w:after="63"/>
        <w:ind w:right="180"/>
      </w:pPr>
      <w:r>
        <w:t>Řádně uchovávat veškerou dokumentaci a účetní doklady, související s realizací projektu, minimálně do konce roku 2028. Pokud je v českých právních předpisech stanovena lhůta delší než v evropských předpisech, musí být použita pro úschovu delší lhůta.</w:t>
      </w:r>
    </w:p>
    <w:p w:rsidR="00CD67CA" w:rsidRDefault="00B12F09">
      <w:pPr>
        <w:numPr>
          <w:ilvl w:val="1"/>
          <w:numId w:val="7"/>
        </w:numPr>
        <w:spacing w:after="129"/>
        <w:ind w:right="180"/>
      </w:pPr>
      <w:r>
        <w:t>Minim</w:t>
      </w:r>
      <w:r>
        <w:t>álně do konce roku 2028 poskytovat informace a dokumentaci vztahující se k projektu zaměstnancům nebo zmocněncům pověřených orgánů (CRR, Ministerstva pro místní rozvoj ČR, Ministerstva financí ČR, Evropské komise, Evropského účetního dvora, Nejvyššího kont</w:t>
      </w:r>
      <w:r>
        <w:t>rolnlho úřadu, Auditního orgánu, Platebního a certifikačního orgánu, příslušného orgánu finanční správy a dalších oprávněných orgánů státní správy) a zároveň je povinen vytvořit podmínky k provedení kontroly a poskytnout při provádění kontroly součinnost.</w:t>
      </w:r>
    </w:p>
    <w:p w:rsidR="00CD67CA" w:rsidRDefault="00B12F09">
      <w:pPr>
        <w:numPr>
          <w:ilvl w:val="0"/>
          <w:numId w:val="7"/>
        </w:numPr>
        <w:spacing w:after="223"/>
        <w:ind w:right="14" w:hanging="353"/>
      </w:pPr>
      <w:r>
        <w:t>Objednatel je povinen poskytnout zhotoviteli součinnost nutnou k provedení dila.</w:t>
      </w:r>
    </w:p>
    <w:p w:rsidR="00CD67CA" w:rsidRDefault="00B12F09">
      <w:pPr>
        <w:spacing w:after="0" w:line="259" w:lineRule="auto"/>
        <w:ind w:left="75" w:right="0" w:hanging="10"/>
        <w:jc w:val="center"/>
      </w:pPr>
      <w:r>
        <w:rPr>
          <w:sz w:val="36"/>
        </w:rPr>
        <w:t>VII.</w:t>
      </w:r>
    </w:p>
    <w:p w:rsidR="00CD67CA" w:rsidRDefault="00B12F09">
      <w:pPr>
        <w:spacing w:after="0" w:line="259" w:lineRule="auto"/>
        <w:ind w:left="125" w:right="22" w:hanging="10"/>
        <w:jc w:val="center"/>
      </w:pPr>
      <w:r>
        <w:rPr>
          <w:sz w:val="28"/>
        </w:rPr>
        <w:t>Předání díla, vlastnické právo k předmětu díla a nebezpečí škody</w:t>
      </w:r>
    </w:p>
    <w:p w:rsidR="00CD67CA" w:rsidRDefault="00B12F09">
      <w:pPr>
        <w:numPr>
          <w:ilvl w:val="0"/>
          <w:numId w:val="8"/>
        </w:numPr>
        <w:ind w:left="486" w:right="14"/>
      </w:pPr>
      <w:r>
        <w:t xml:space="preserve">Dílo bude předáno a převzato na místě plnění dle čl. V odst. 1 této smlouvy. Objednatel se zavazuje dílo </w:t>
      </w:r>
      <w:r>
        <w:t>(jeho část) převzít v případě, že bude předáno bez vad a nedodělků. O předání a převzetí díla zhotovitel sepíše zápis o předání a převzetí díla, ve kterém objednatel prohlásí, zda dílo přejímá či nikoli. Zápis o předání a převzetí díla bude podepsán oprávn</w:t>
      </w:r>
      <w:r>
        <w:t>ěným zástupcem zhotovitele, objednatele. Zápis o předání a převzetí díla bude vyhotoven ve třech stejnopisech, přičemž dvě vyhotovení budou určena pro objednatele a jedno pro zhotovitele.</w:t>
      </w:r>
    </w:p>
    <w:p w:rsidR="00CD67CA" w:rsidRDefault="00B12F09">
      <w:pPr>
        <w:numPr>
          <w:ilvl w:val="0"/>
          <w:numId w:val="8"/>
        </w:numPr>
        <w:ind w:left="486" w:right="14"/>
      </w:pPr>
      <w:r>
        <w:t>Zápis o předání a převzetí díla bude obsahovat:</w:t>
      </w:r>
    </w:p>
    <w:p w:rsidR="00CD67CA" w:rsidRDefault="00B12F09">
      <w:pPr>
        <w:numPr>
          <w:ilvl w:val="1"/>
          <w:numId w:val="8"/>
        </w:numPr>
        <w:ind w:left="872" w:right="14" w:hanging="382"/>
      </w:pPr>
      <w:r>
        <w:t>číslo a datum vyhoto</w:t>
      </w:r>
      <w:r>
        <w:t>vení zápisu o předání a převzetí díla,</w:t>
      </w:r>
    </w:p>
    <w:p w:rsidR="00CD67CA" w:rsidRDefault="00B12F09">
      <w:pPr>
        <w:numPr>
          <w:ilvl w:val="1"/>
          <w:numId w:val="8"/>
        </w:numPr>
        <w:spacing w:after="90"/>
        <w:ind w:left="872" w:right="14" w:hanging="382"/>
      </w:pPr>
      <w:r>
        <w:t>název veřejné zakázky: Dodávka vybavení multimediální učebny v rámci projektu „Modernizace odborných učeben ve Skolním statku Opava",</w:t>
      </w:r>
    </w:p>
    <w:p w:rsidR="00CD67CA" w:rsidRDefault="00B12F09">
      <w:pPr>
        <w:numPr>
          <w:ilvl w:val="1"/>
          <w:numId w:val="8"/>
        </w:numPr>
        <w:ind w:left="872" w:right="14" w:hanging="382"/>
      </w:pPr>
      <w:r>
        <w:t>označení objednatele a zhotovitele,</w:t>
      </w:r>
    </w:p>
    <w:p w:rsidR="00CD67CA" w:rsidRDefault="00B12F09">
      <w:pPr>
        <w:numPr>
          <w:ilvl w:val="1"/>
          <w:numId w:val="8"/>
        </w:numPr>
        <w:spacing w:after="102"/>
        <w:ind w:left="872" w:right="14" w:hanging="382"/>
      </w:pPr>
      <w:r>
        <w:t>číslo této smlouvy o dílo a datum jejího uzavře</w:t>
      </w:r>
      <w:r>
        <w:t>ní včetně čísel a dat uzavření jejích případných dodatků,</w:t>
      </w:r>
    </w:p>
    <w:p w:rsidR="00CD67CA" w:rsidRDefault="00B12F09">
      <w:pPr>
        <w:numPr>
          <w:ilvl w:val="1"/>
          <w:numId w:val="8"/>
        </w:numPr>
        <w:spacing w:after="101"/>
        <w:ind w:left="872" w:right="14" w:hanging="382"/>
      </w:pPr>
      <w:r>
        <w:t>název projektu: „Modernizace odborných učeben ve Školním statku Opava” a registracnł cłslo projektu: CZ.06.2.67/O.0/O.0/16_066/0010581,</w:t>
      </w:r>
    </w:p>
    <w:p w:rsidR="00CD67CA" w:rsidRDefault="00B12F09">
      <w:pPr>
        <w:numPr>
          <w:ilvl w:val="1"/>
          <w:numId w:val="8"/>
        </w:numPr>
        <w:spacing w:after="80"/>
        <w:ind w:left="872" w:right="14" w:hanging="382"/>
      </w:pPr>
      <w:r>
        <w:t>místo plnění, tj. Školní statek, Opava, příspěvková organizace, Opava, Englišova 526/95,</w:t>
      </w:r>
    </w:p>
    <w:p w:rsidR="00CD67CA" w:rsidRDefault="00B12F09">
      <w:pPr>
        <w:numPr>
          <w:ilvl w:val="1"/>
          <w:numId w:val="8"/>
        </w:numPr>
        <w:ind w:left="872" w:right="14" w:hanging="382"/>
      </w:pPr>
      <w:r>
        <w:t>položky dle přílohy č. 1 této smlouvy, sériové číslo položek nebo jiné číselné označení položek (pokud existuje), vč. finančního vyjádření ceny za jednotlivé položky (</w:t>
      </w:r>
      <w:r>
        <w:t>cena bez DPH, výše DPH, cena s DPH),</w:t>
      </w:r>
    </w:p>
    <w:p w:rsidR="00CD67CA" w:rsidRDefault="00B12F09">
      <w:pPr>
        <w:numPr>
          <w:ilvl w:val="1"/>
          <w:numId w:val="8"/>
        </w:numPr>
        <w:ind w:left="872" w:right="14" w:hanging="382"/>
      </w:pPr>
      <w:r>
        <w:t>datum zahájení a dokončení prací na díle,</w:t>
      </w:r>
    </w:p>
    <w:p w:rsidR="00CD67CA" w:rsidRDefault="00B12F09">
      <w:pPr>
        <w:numPr>
          <w:ilvl w:val="1"/>
          <w:numId w:val="8"/>
        </w:numPr>
        <w:ind w:left="872" w:right="14" w:hanging="382"/>
      </w:pPr>
      <w:r>
        <w:t>prohlášení objednatele, že dílo přejímá (nepřejímá),</w:t>
      </w:r>
    </w:p>
    <w:p w:rsidR="00CD67CA" w:rsidRDefault="00B12F09">
      <w:pPr>
        <w:numPr>
          <w:ilvl w:val="1"/>
          <w:numId w:val="8"/>
        </w:numPr>
        <w:ind w:left="872" w:right="14" w:hanging="382"/>
      </w:pPr>
      <w:r>
        <w:t>datum a místo předání díla,</w:t>
      </w:r>
    </w:p>
    <w:p w:rsidR="00CD67CA" w:rsidRDefault="00B12F09">
      <w:pPr>
        <w:numPr>
          <w:ilvl w:val="1"/>
          <w:numId w:val="8"/>
        </w:numPr>
        <w:ind w:left="872" w:right="14" w:hanging="382"/>
      </w:pPr>
      <w:r>
        <w:t>jména a podpisy zástupců objednatele a zhotovitele.</w:t>
      </w:r>
    </w:p>
    <w:p w:rsidR="00CD67CA" w:rsidRDefault="00B12F09">
      <w:pPr>
        <w:numPr>
          <w:ilvl w:val="0"/>
          <w:numId w:val="8"/>
        </w:numPr>
        <w:spacing w:after="788"/>
        <w:ind w:left="486" w:right="14"/>
      </w:pPr>
      <w:r>
        <w:t>Zhotovitel odpovídá za to, že informace uved</w:t>
      </w:r>
      <w:r>
        <w:t>ené v zápise o předání a převzetí díla budou v souladu se skutečným stavem. Zhotovitel a objednatel jsou oprávněni vedle předepsaných náležitostí uvést v zápise o předání a převzetí díla cokoliv, co budou považovat za nutné.</w:t>
      </w:r>
    </w:p>
    <w:p w:rsidR="00CD67CA" w:rsidRDefault="00B12F09">
      <w:pPr>
        <w:spacing w:after="181" w:line="259" w:lineRule="auto"/>
        <w:ind w:left="5108" w:right="0" w:hanging="10"/>
        <w:jc w:val="center"/>
      </w:pPr>
      <w:r>
        <w:rPr>
          <w:sz w:val="16"/>
          <w:vertAlign w:val="superscript"/>
        </w:rPr>
        <w:t>n</w:t>
      </w:r>
    </w:p>
    <w:p w:rsidR="00CD67CA" w:rsidRDefault="00B12F09">
      <w:pPr>
        <w:numPr>
          <w:ilvl w:val="0"/>
          <w:numId w:val="8"/>
        </w:numPr>
        <w:spacing w:after="100"/>
        <w:ind w:left="486" w:right="14"/>
      </w:pPr>
      <w:r>
        <w:t>Vlastnické právo k věci, kter</w:t>
      </w:r>
      <w:r>
        <w:t>á je předmětem díla, a nebezpečí škody na ní přechází na objednatele dnem převzetí díla objednatelem.</w:t>
      </w:r>
    </w:p>
    <w:p w:rsidR="00CD67CA" w:rsidRDefault="00B12F09">
      <w:pPr>
        <w:numPr>
          <w:ilvl w:val="0"/>
          <w:numId w:val="8"/>
        </w:numPr>
        <w:spacing w:after="354"/>
        <w:ind w:left="486" w:right="14"/>
      </w:pPr>
      <w:r>
        <w:t>Součástí předání díla dle tohoto článku je rovněž předání dokladů, které se k dílu vztahují (záruční list, návod k použití, prohlášení o shodě apod.) v če</w:t>
      </w:r>
      <w:r>
        <w:t>ském jazyce. Dílo musí splňovat požadavky zákona č. 22/1997 Sb., o technických požadavcích na výrobky, ve znění pozdějších předpisů.</w:t>
      </w:r>
    </w:p>
    <w:p w:rsidR="00CD67CA" w:rsidRDefault="00B12F09">
      <w:pPr>
        <w:spacing w:after="0" w:line="259" w:lineRule="auto"/>
        <w:ind w:left="0" w:right="158" w:firstLine="0"/>
        <w:jc w:val="center"/>
      </w:pPr>
      <w:r>
        <w:rPr>
          <w:rFonts w:ascii="Times New Roman" w:eastAsia="Times New Roman" w:hAnsi="Times New Roman" w:cs="Times New Roman"/>
          <w:sz w:val="28"/>
        </w:rPr>
        <w:t>VIII.</w:t>
      </w:r>
    </w:p>
    <w:p w:rsidR="00CD67CA" w:rsidRDefault="00B12F09">
      <w:pPr>
        <w:spacing w:after="0" w:line="259" w:lineRule="auto"/>
        <w:ind w:left="125" w:right="252" w:hanging="10"/>
        <w:jc w:val="center"/>
      </w:pPr>
      <w:r>
        <w:rPr>
          <w:sz w:val="28"/>
        </w:rPr>
        <w:t>Platební a fakturační podmínky</w:t>
      </w:r>
    </w:p>
    <w:p w:rsidR="00CD67CA" w:rsidRDefault="00B12F09">
      <w:pPr>
        <w:numPr>
          <w:ilvl w:val="0"/>
          <w:numId w:val="9"/>
        </w:numPr>
        <w:ind w:left="370" w:right="14"/>
      </w:pPr>
      <w:r>
        <w:t>V souladu s ustanovením zákona o DPH sjednávají smluvní strany dilčí plnění. Po předání a převzetí části díla, které bude potvrzeno podpisem zápisu o předání a převzetí díla dle čl. VII odst. 2 této smlouvy, bude uhrazena cena ve výši odpovídající ceně čás</w:t>
      </w:r>
      <w:r>
        <w:t>ti díla uvedené v zápise o předání a převzetí díla. Zálohové platby nebudou poskytovány.</w:t>
      </w:r>
    </w:p>
    <w:p w:rsidR="00CD67CA" w:rsidRDefault="00B12F09">
      <w:pPr>
        <w:numPr>
          <w:ilvl w:val="0"/>
          <w:numId w:val="9"/>
        </w:numPr>
        <w:spacing w:after="0"/>
        <w:ind w:left="370" w:right="14"/>
      </w:pPr>
      <w:r>
        <w:t>Je-li zhotovitel plátcem DPH, podkladem pro úhradu ceny za dílo budou faktury, které budou mít náležitosti daňového dokladu dle zákona o DPH a náležitosti stanovené da</w:t>
      </w:r>
      <w:r>
        <w:t>lšími obecně závaznými právními předpisy (dále jen ”faktura”). Není-li zhotovitel plátcem DPH, podkladem pro úhradu ceny za dílo budou faktury, které budou mít náležitosti účetního dokladu dle zákona č. 563/1991 Sb., o účetnictví, ve znění pozdějších předp</w:t>
      </w:r>
      <w:r>
        <w:t>isů a náležitosti stanovené dalšími obecně závaznými právními předpisy. Kromě náležitostí stanovených platnými právními předpisy pro daňový doklad/účetní doklad bude zhotovitel povinen ve faktuře uvést i tyto údaje:</w:t>
      </w:r>
    </w:p>
    <w:p w:rsidR="00CD67CA" w:rsidRDefault="00B12F09">
      <w:pPr>
        <w:numPr>
          <w:ilvl w:val="1"/>
          <w:numId w:val="9"/>
        </w:numPr>
        <w:spacing w:after="14"/>
        <w:ind w:left="738" w:right="14"/>
      </w:pPr>
      <w:r>
        <w:t>číslo smlouvy objednatele a číslo veřejn</w:t>
      </w:r>
      <w:r>
        <w:t>é zakázky (tj. 1004 — MOU — MUL UČE), IČO objednatele,</w:t>
      </w:r>
    </w:p>
    <w:p w:rsidR="00CD67CA" w:rsidRDefault="00B12F09">
      <w:pPr>
        <w:numPr>
          <w:ilvl w:val="1"/>
          <w:numId w:val="9"/>
        </w:numPr>
        <w:spacing w:after="4"/>
        <w:ind w:left="738" w:right="14"/>
      </w:pPr>
      <w:r>
        <w:t>název veřejné zakázky: „Dodávky vybavení multimediální učebny v rámci projektu „Modernizace odborných učeben ve Školním statku Opava",</w:t>
      </w:r>
    </w:p>
    <w:p w:rsidR="00CD67CA" w:rsidRDefault="00B12F09">
      <w:pPr>
        <w:numPr>
          <w:ilvl w:val="1"/>
          <w:numId w:val="9"/>
        </w:numPr>
        <w:spacing w:after="67"/>
        <w:ind w:left="738" w:right="14"/>
      </w:pPr>
      <w:r>
        <w:t>název projektu: „Modernizace odborných učeben ve Školním statku Op</w:t>
      </w:r>
      <w:r>
        <w:t>ava", registrační číslo projektu: CZ.06.2.67/O.0/O.0/16_066/0010581,</w:t>
      </w:r>
    </w:p>
    <w:p w:rsidR="00CD67CA" w:rsidRDefault="00B12F09">
      <w:pPr>
        <w:numPr>
          <w:ilvl w:val="1"/>
          <w:numId w:val="9"/>
        </w:numPr>
        <w:spacing w:after="0"/>
        <w:ind w:left="738" w:right="14"/>
      </w:pPr>
      <w:r>
        <w:t>označení banky a číslo účtu, na který musí být zaplaceno (pokud je číslo účtu odlišné od čísla uvedeného v čl. I odst. 2, je zhotovitel povinen o této skutečnosti v souladu s čl. II odst.</w:t>
      </w:r>
      <w:r>
        <w:t xml:space="preserve"> 3 této smlouvy informovat objednatele),</w:t>
      </w:r>
    </w:p>
    <w:p w:rsidR="00CD67CA" w:rsidRDefault="00B12F09">
      <w:pPr>
        <w:numPr>
          <w:ilvl w:val="1"/>
          <w:numId w:val="9"/>
        </w:numPr>
        <w:ind w:left="738" w:right="14"/>
      </w:pPr>
      <w:r>
        <w:t>lhůtu splatnosti faktury,</w:t>
      </w:r>
    </w:p>
    <w:p w:rsidR="00CD67CA" w:rsidRDefault="00B12F09">
      <w:pPr>
        <w:numPr>
          <w:ilvl w:val="1"/>
          <w:numId w:val="9"/>
        </w:numPr>
        <w:ind w:left="738" w:right="14"/>
      </w:pPr>
      <w:r>
        <w:t>označení osoby, která fakturu vyhotovila, včetně jejího podpisu a kontaktního telefonu,</w:t>
      </w:r>
    </w:p>
    <w:p w:rsidR="00CD67CA" w:rsidRDefault="00B12F09">
      <w:pPr>
        <w:numPr>
          <w:ilvl w:val="1"/>
          <w:numId w:val="9"/>
        </w:numPr>
        <w:spacing w:after="0"/>
        <w:ind w:left="738" w:right="14"/>
      </w:pPr>
      <w:r>
        <w:t>číslo zápisu o předání a převzetí díla a datum jeho podpisu. Zápis o předání a převzetí díla bude pří</w:t>
      </w:r>
      <w:r>
        <w:t>lohou faktury. Budou-li splněny podmínky stanovené zákonem o DPH (například ust. S 21 odst. 9 aj.), může faktura zahrnovat několik zápisů o předání a převzetí díla,</w:t>
      </w:r>
    </w:p>
    <w:p w:rsidR="00CD67CA" w:rsidRDefault="00B12F09">
      <w:pPr>
        <w:numPr>
          <w:ilvl w:val="1"/>
          <w:numId w:val="9"/>
        </w:numPr>
        <w:spacing w:after="120"/>
        <w:ind w:left="738" w:right="14"/>
      </w:pPr>
      <w:r>
        <w:t>pokud bude vystavena více než 1 faktura, bude přílohou poslední faktury rekapitulace zápisů</w:t>
      </w:r>
      <w:r>
        <w:t xml:space="preserve"> o předání a převzetí díla vč. finančního vyjádření a rekapitulace vystavených faktur.</w:t>
      </w:r>
    </w:p>
    <w:p w:rsidR="00CD67CA" w:rsidRDefault="00B12F09">
      <w:pPr>
        <w:numPr>
          <w:ilvl w:val="0"/>
          <w:numId w:val="9"/>
        </w:numPr>
        <w:spacing w:after="120"/>
        <w:ind w:left="370" w:right="14"/>
      </w:pPr>
      <w:r>
        <w:t>Povinnost zaplatit cenu za dílo je splněna dnem odepsání příslušné částky z účtu objednatele.</w:t>
      </w:r>
    </w:p>
    <w:p w:rsidR="00CD67CA" w:rsidRDefault="00B12F09">
      <w:pPr>
        <w:numPr>
          <w:ilvl w:val="0"/>
          <w:numId w:val="9"/>
        </w:numPr>
        <w:spacing w:after="112"/>
        <w:ind w:left="370" w:right="14"/>
      </w:pPr>
      <w:r>
        <w:t>Lhůta splatnosti faktury činí 30 kalendářních dnů ode dne jejího doručení objednateli. Doručení faktury se provede osobně oproti podpisu zmocněné osoby objednatele nebo doručenkou prostřednictvím provozovatele poštovních služeb.</w:t>
      </w:r>
    </w:p>
    <w:p w:rsidR="00CD67CA" w:rsidRDefault="00B12F09">
      <w:pPr>
        <w:numPr>
          <w:ilvl w:val="0"/>
          <w:numId w:val="9"/>
        </w:numPr>
        <w:spacing w:after="340" w:line="216" w:lineRule="auto"/>
        <w:ind w:left="370" w:right="14"/>
      </w:pPr>
      <w:r>
        <w:t>Nebude-li faktura obsahovat</w:t>
      </w:r>
      <w:r>
        <w:t xml:space="preserve"> některou povinnou nebo dohodnutou náležitost nebo bude-li chybně vyúčtována cena nebo DPH, je objednatel oprávněn fakturu před uplynutím lhůty splatnosti vrátit druhé smluvní straně k provedení opravy s vyznačením důvodu vrácení.</w:t>
      </w:r>
    </w:p>
    <w:p w:rsidR="00CD67CA" w:rsidRDefault="00B12F09">
      <w:pPr>
        <w:spacing w:after="181" w:line="259" w:lineRule="auto"/>
        <w:ind w:left="5108" w:right="223" w:hanging="10"/>
        <w:jc w:val="center"/>
      </w:pPr>
      <w:r>
        <w:rPr>
          <w:sz w:val="16"/>
          <w:vertAlign w:val="superscript"/>
        </w:rPr>
        <w:t>u</w:t>
      </w:r>
    </w:p>
    <w:p w:rsidR="00CD67CA" w:rsidRDefault="00B12F09">
      <w:pPr>
        <w:spacing w:after="104"/>
        <w:ind w:left="540" w:right="14" w:hanging="7"/>
      </w:pPr>
      <w:r>
        <w:t>Zhotovitel provede opra</w:t>
      </w:r>
      <w:r>
        <w:t xml:space="preserve">vu vystavením nové faktury. Vrácením vadné faktury zhotoviteli přestává běžet původní lhůta splatnosti. Nová lhůta splatnosti běží ode dne doručení nové faktury objednateli. </w:t>
      </w:r>
      <w:r>
        <w:rPr>
          <w:noProof/>
        </w:rPr>
        <w:drawing>
          <wp:inline distT="0" distB="0" distL="0" distR="0">
            <wp:extent cx="4572" cy="4570"/>
            <wp:effectExtent l="0" t="0" r="0" b="0"/>
            <wp:docPr id="21550" name="Picture 21550"/>
            <wp:cNvGraphicFramePr/>
            <a:graphic xmlns:a="http://schemas.openxmlformats.org/drawingml/2006/main">
              <a:graphicData uri="http://schemas.openxmlformats.org/drawingml/2006/picture">
                <pic:pic xmlns:pic="http://schemas.openxmlformats.org/drawingml/2006/picture">
                  <pic:nvPicPr>
                    <pic:cNvPr id="21550" name="Picture 21550"/>
                    <pic:cNvPicPr/>
                  </pic:nvPicPr>
                  <pic:blipFill>
                    <a:blip r:embed="rId10"/>
                    <a:stretch>
                      <a:fillRect/>
                    </a:stretch>
                  </pic:blipFill>
                  <pic:spPr>
                    <a:xfrm>
                      <a:off x="0" y="0"/>
                      <a:ext cx="4572" cy="4570"/>
                    </a:xfrm>
                    <a:prstGeom prst="rect">
                      <a:avLst/>
                    </a:prstGeom>
                  </pic:spPr>
                </pic:pic>
              </a:graphicData>
            </a:graphic>
          </wp:inline>
        </w:drawing>
      </w:r>
    </w:p>
    <w:p w:rsidR="00CD67CA" w:rsidRDefault="00B12F09">
      <w:pPr>
        <w:numPr>
          <w:ilvl w:val="0"/>
          <w:numId w:val="9"/>
        </w:numPr>
        <w:spacing w:after="6"/>
        <w:ind w:left="370" w:right="14"/>
      </w:pPr>
      <w:r>
        <w:t xml:space="preserve">Objednatel, příjemce plnění, prohlašuje, že plnění, které je předmětem smlouvy, </w:t>
      </w:r>
      <w:r>
        <w:t>nepoužije pro svou ekonomickou činnost, ale výlučně pro účely související s jeho činností při výkonu veřejné správy, při níž se nepovažuje za osobu povinnou k dani (viz S 5 odst. 3 zákona o DPH). Z uvedeného důvodu se na plnění, podléhá-li režimu přenesení</w:t>
      </w:r>
      <w:r>
        <w:t xml:space="preserve"> daňové povinnosti dle příslušných ustanovení uvedeného zákona, tento daňový režim nevztahuje a zhotovitelem, je-li plátcem DPH, bude vystavena faktura za zdanitelné plnění včetně daně z přidané hodnoty.</w:t>
      </w:r>
    </w:p>
    <w:p w:rsidR="00CD67CA" w:rsidRDefault="00B12F09">
      <w:pPr>
        <w:numPr>
          <w:ilvl w:val="0"/>
          <w:numId w:val="9"/>
        </w:numPr>
        <w:spacing w:after="0"/>
        <w:ind w:left="370" w:right="14"/>
      </w:pPr>
      <w:r>
        <w:t>Je-li zhotovitel plátcem DPH, objednatel uplatní ins</w:t>
      </w:r>
      <w:r>
        <w:t>titut zvláštního způsobu zajištění daně dle S 109a zákona o DPH a hodnotu plnění odpovídající dani z přidané hodnoty uhradí v termínu splatnosti faktury stanoveném dle smlouvy přímo na osobní depozitní účet zhotovitele vedený u místně příslušného správce d</w:t>
      </w:r>
      <w:r>
        <w:t>aně v případě, že:</w:t>
      </w:r>
    </w:p>
    <w:p w:rsidR="00CD67CA" w:rsidRDefault="00B12F09">
      <w:pPr>
        <w:numPr>
          <w:ilvl w:val="1"/>
          <w:numId w:val="9"/>
        </w:numPr>
        <w:spacing w:after="17"/>
        <w:ind w:left="738" w:right="14"/>
      </w:pPr>
      <w:r>
        <w:t>zhotovitel bude ke dni poskytnutí úplaty nebo ke dni uskutečnění zdanitelného plnění zveřejněn v aplikaci „Registr DPH" jako nespolehlivý plátce, nebo</w:t>
      </w:r>
    </w:p>
    <w:p w:rsidR="00CD67CA" w:rsidRDefault="00B12F09">
      <w:pPr>
        <w:numPr>
          <w:ilvl w:val="1"/>
          <w:numId w:val="9"/>
        </w:numPr>
        <w:spacing w:after="0"/>
        <w:ind w:left="738" w:right="14"/>
      </w:pPr>
      <w:r>
        <w:t>zhotovitel bude ke dni poskytnutí úplaty nebo ke dni uskutečnění zdanitelného plnění v</w:t>
      </w:r>
      <w:r>
        <w:t xml:space="preserve"> insolvenčním řízení, nebo</w:t>
      </w:r>
    </w:p>
    <w:p w:rsidR="00CD67CA" w:rsidRDefault="00B12F09">
      <w:pPr>
        <w:numPr>
          <w:ilvl w:val="1"/>
          <w:numId w:val="9"/>
        </w:numPr>
        <w:ind w:left="738" w:right="14"/>
      </w:pPr>
      <w:r>
        <w:t>bankovní účet zhotovitele určený k úhradě plnění uvedený na faktuře nebude správcem daně zveřejněn v aplikaci „Registr DPH'.</w:t>
      </w:r>
    </w:p>
    <w:p w:rsidR="00CD67CA" w:rsidRDefault="00B12F09">
      <w:pPr>
        <w:spacing w:after="618"/>
        <w:ind w:left="525" w:right="14" w:hanging="7"/>
      </w:pPr>
      <w: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w:t>
      </w:r>
      <w:r>
        <w:t>ouvislosti s potenciálně pozdní úhradou DPH, tj. po datu splatnosti této daně.</w:t>
      </w:r>
    </w:p>
    <w:p w:rsidR="00CD67CA" w:rsidRDefault="00B12F09">
      <w:pPr>
        <w:spacing w:after="0" w:line="259" w:lineRule="auto"/>
        <w:ind w:left="176" w:right="0" w:hanging="10"/>
        <w:jc w:val="center"/>
      </w:pPr>
      <w:r>
        <w:rPr>
          <w:sz w:val="30"/>
        </w:rPr>
        <w:t>Práva z vadného plnění, záruka za jakost</w:t>
      </w:r>
    </w:p>
    <w:p w:rsidR="00CD67CA" w:rsidRDefault="00B12F09">
      <w:pPr>
        <w:numPr>
          <w:ilvl w:val="0"/>
          <w:numId w:val="10"/>
        </w:numPr>
        <w:ind w:right="14" w:hanging="367"/>
      </w:pPr>
      <w:r>
        <w:t>Dílo má vadu, jestliže neodpovídá požadavkům uvedeným v této smlouvě.</w:t>
      </w:r>
    </w:p>
    <w:p w:rsidR="00CD67CA" w:rsidRDefault="00B12F09">
      <w:pPr>
        <w:numPr>
          <w:ilvl w:val="0"/>
          <w:numId w:val="10"/>
        </w:numPr>
        <w:spacing w:after="76"/>
        <w:ind w:right="14" w:hanging="367"/>
      </w:pPr>
      <w:r>
        <w:t>Objednatel má právo z vadného plnění z vad, které má dílo při přev</w:t>
      </w:r>
      <w:r>
        <w:t>zetí objednatelem, byť se vada projeví až později. Objednatel má právo z vadného plnění také z vad vzniklých po převzetí díla objednatelem, pokud je zhotovitel způsobil porušením své povinnosti. Projeví-li se vada v průběhu 6 měsíců od převzetí dila objedn</w:t>
      </w:r>
      <w:r>
        <w:t>atelem, má se zato, že dílo bylo vadné již při převzetí, neprokáže-li zhotovitel opak.</w:t>
      </w:r>
    </w:p>
    <w:p w:rsidR="00CD67CA" w:rsidRDefault="00B12F09">
      <w:pPr>
        <w:numPr>
          <w:ilvl w:val="0"/>
          <w:numId w:val="10"/>
        </w:numPr>
        <w:ind w:right="14" w:hanging="367"/>
      </w:pPr>
      <w:r>
        <w:t>Zhotovitel poskytuje objednateli na provedené dílo záruku za jakost (dále jen „záruka") ve smyslu S 2619 a S 2113 a násl. občanského zákoníku, a to v délce 24 měsíců (dá</w:t>
      </w:r>
      <w:r>
        <w:t>le též „záruční doba"). Záruční doba začíná běžet dnem převzetí díla objednatelem. Záruční doba se staví po dobu, po kterou nemůže objednatel dilo řádně užívat pro vady, za které nese odpovědnost zhotovitel. Pro nahlašování a odstraňování vad v rámci záruk</w:t>
      </w:r>
      <w:r>
        <w:t>y platí podmínky uvedené v odst. 4 a násl. tohoto článku smlouvy.</w:t>
      </w:r>
    </w:p>
    <w:p w:rsidR="00CD67CA" w:rsidRDefault="00B12F09">
      <w:pPr>
        <w:numPr>
          <w:ilvl w:val="0"/>
          <w:numId w:val="10"/>
        </w:numPr>
        <w:spacing w:after="124"/>
        <w:ind w:right="14" w:hanging="367"/>
      </w:pPr>
      <w:r>
        <w:t>Vady díla dle odst. 2 tohoto článku smlouvy a vady, které se projeví během záruční doby, budou zhotovitelem odstraněny bezplatně.</w:t>
      </w:r>
    </w:p>
    <w:p w:rsidR="00CD67CA" w:rsidRDefault="00B12F09">
      <w:pPr>
        <w:numPr>
          <w:ilvl w:val="0"/>
          <w:numId w:val="10"/>
        </w:numPr>
        <w:spacing w:after="340" w:line="216" w:lineRule="auto"/>
        <w:ind w:right="14" w:hanging="367"/>
      </w:pPr>
      <w:r>
        <w:t>Veškeré vady díla je objednatel povinen uplatnit u zhotovite</w:t>
      </w:r>
      <w:r>
        <w:t xml:space="preserve">le bez zbytečného odkladu poté, kdy vadu zjistil, a to formou písemného oznámení (popř. e-mailem), obsahujícím co nejpodrobnější specifikaci zjištěné vady. Objednatel bude vady díla oznamovat na: </w:t>
      </w:r>
      <w:r>
        <w:rPr>
          <w:noProof/>
        </w:rPr>
        <w:drawing>
          <wp:inline distT="0" distB="0" distL="0" distR="0">
            <wp:extent cx="59436" cy="59410"/>
            <wp:effectExtent l="0" t="0" r="0" b="0"/>
            <wp:docPr id="21551" name="Picture 21551"/>
            <wp:cNvGraphicFramePr/>
            <a:graphic xmlns:a="http://schemas.openxmlformats.org/drawingml/2006/main">
              <a:graphicData uri="http://schemas.openxmlformats.org/drawingml/2006/picture">
                <pic:pic xmlns:pic="http://schemas.openxmlformats.org/drawingml/2006/picture">
                  <pic:nvPicPr>
                    <pic:cNvPr id="21551" name="Picture 21551"/>
                    <pic:cNvPicPr/>
                  </pic:nvPicPr>
                  <pic:blipFill>
                    <a:blip r:embed="rId23"/>
                    <a:stretch>
                      <a:fillRect/>
                    </a:stretch>
                  </pic:blipFill>
                  <pic:spPr>
                    <a:xfrm>
                      <a:off x="0" y="0"/>
                      <a:ext cx="59436" cy="59410"/>
                    </a:xfrm>
                    <a:prstGeom prst="rect">
                      <a:avLst/>
                    </a:prstGeom>
                  </pic:spPr>
                </pic:pic>
              </a:graphicData>
            </a:graphic>
          </wp:inline>
        </w:drawing>
      </w:r>
      <w:r>
        <w:tab/>
        <w:t>e-mail:</w:t>
      </w:r>
      <w:r>
        <w:tab/>
        <w:t xml:space="preserve">zakazky@moderniskola.eu </w:t>
      </w:r>
      <w:r>
        <w:rPr>
          <w:noProof/>
        </w:rPr>
        <w:drawing>
          <wp:inline distT="0" distB="0" distL="0" distR="0">
            <wp:extent cx="54864" cy="59410"/>
            <wp:effectExtent l="0" t="0" r="0" b="0"/>
            <wp:docPr id="21552" name="Picture 21552"/>
            <wp:cNvGraphicFramePr/>
            <a:graphic xmlns:a="http://schemas.openxmlformats.org/drawingml/2006/main">
              <a:graphicData uri="http://schemas.openxmlformats.org/drawingml/2006/picture">
                <pic:pic xmlns:pic="http://schemas.openxmlformats.org/drawingml/2006/picture">
                  <pic:nvPicPr>
                    <pic:cNvPr id="21552" name="Picture 21552"/>
                    <pic:cNvPicPr/>
                  </pic:nvPicPr>
                  <pic:blipFill>
                    <a:blip r:embed="rId24"/>
                    <a:stretch>
                      <a:fillRect/>
                    </a:stretch>
                  </pic:blipFill>
                  <pic:spPr>
                    <a:xfrm>
                      <a:off x="0" y="0"/>
                      <a:ext cx="54864" cy="59410"/>
                    </a:xfrm>
                    <a:prstGeom prst="rect">
                      <a:avLst/>
                    </a:prstGeom>
                  </pic:spPr>
                </pic:pic>
              </a:graphicData>
            </a:graphic>
          </wp:inline>
        </w:drawing>
      </w:r>
      <w:r>
        <w:tab/>
        <w:t>adresu:</w:t>
      </w:r>
      <w:r>
        <w:tab/>
        <w:t>Moderní škola s.</w:t>
      </w:r>
      <w:r>
        <w:t>r.o., K Rybníčkům 332, 747 81 Otice</w:t>
      </w:r>
    </w:p>
    <w:p w:rsidR="00CD67CA" w:rsidRDefault="00CD67CA">
      <w:pPr>
        <w:sectPr w:rsidR="00CD67CA">
          <w:footerReference w:type="even" r:id="rId25"/>
          <w:footerReference w:type="default" r:id="rId26"/>
          <w:footerReference w:type="first" r:id="rId27"/>
          <w:pgSz w:w="11563" w:h="16488"/>
          <w:pgMar w:top="1310" w:right="1015" w:bottom="410" w:left="1289" w:header="720" w:footer="403" w:gutter="0"/>
          <w:cols w:space="720"/>
        </w:sectPr>
      </w:pPr>
    </w:p>
    <w:p w:rsidR="00CD67CA" w:rsidRDefault="00B12F09">
      <w:pPr>
        <w:tabs>
          <w:tab w:val="center" w:pos="657"/>
          <w:tab w:val="center" w:pos="2113"/>
          <w:tab w:val="center" w:pos="4234"/>
        </w:tabs>
        <w:spacing w:after="92"/>
        <w:ind w:left="0" w:right="0" w:firstLine="0"/>
        <w:jc w:val="left"/>
      </w:pPr>
      <w:r>
        <w:rPr>
          <w:rFonts w:ascii="Times New Roman" w:eastAsia="Times New Roman" w:hAnsi="Times New Roman" w:cs="Times New Roman"/>
        </w:rPr>
        <w:tab/>
      </w:r>
      <w:r>
        <w:rPr>
          <w:noProof/>
        </w:rPr>
        <w:drawing>
          <wp:inline distT="0" distB="0" distL="0" distR="0">
            <wp:extent cx="59436" cy="59410"/>
            <wp:effectExtent l="0" t="0" r="0" b="0"/>
            <wp:docPr id="24348" name="Picture 24348"/>
            <wp:cNvGraphicFramePr/>
            <a:graphic xmlns:a="http://schemas.openxmlformats.org/drawingml/2006/main">
              <a:graphicData uri="http://schemas.openxmlformats.org/drawingml/2006/picture">
                <pic:pic xmlns:pic="http://schemas.openxmlformats.org/drawingml/2006/picture">
                  <pic:nvPicPr>
                    <pic:cNvPr id="24348" name="Picture 24348"/>
                    <pic:cNvPicPr/>
                  </pic:nvPicPr>
                  <pic:blipFill>
                    <a:blip r:embed="rId28"/>
                    <a:stretch>
                      <a:fillRect/>
                    </a:stretch>
                  </pic:blipFill>
                  <pic:spPr>
                    <a:xfrm>
                      <a:off x="0" y="0"/>
                      <a:ext cx="59436" cy="59410"/>
                    </a:xfrm>
                    <a:prstGeom prst="rect">
                      <a:avLst/>
                    </a:prstGeom>
                  </pic:spPr>
                </pic:pic>
              </a:graphicData>
            </a:graphic>
          </wp:inline>
        </w:drawing>
      </w:r>
      <w:r>
        <w:tab/>
        <w:t>do datové schránky:</w:t>
      </w:r>
      <w:r>
        <w:tab/>
        <w:t>akdg7c6</w:t>
      </w:r>
    </w:p>
    <w:p w:rsidR="00CD67CA" w:rsidRDefault="00B12F09">
      <w:pPr>
        <w:numPr>
          <w:ilvl w:val="0"/>
          <w:numId w:val="10"/>
        </w:numPr>
        <w:spacing w:after="102"/>
        <w:ind w:right="14" w:hanging="367"/>
      </w:pPr>
      <w:r>
        <w:t>Objednatel má právo na odstranění vady dodáním nové věci nebo opravou; je-li vadné plnění podstatným porušením smlouvy, má také právo od smlouvy odstoupit. Právo volby plnění má objednatel.</w:t>
      </w:r>
    </w:p>
    <w:p w:rsidR="00CD67CA" w:rsidRDefault="00B12F09">
      <w:pPr>
        <w:numPr>
          <w:ilvl w:val="0"/>
          <w:numId w:val="10"/>
        </w:numPr>
        <w:spacing w:after="77"/>
        <w:ind w:right="14" w:hanging="367"/>
      </w:pPr>
      <w:r>
        <w:t xml:space="preserve">Zhotovitel je povinen odstranit vadu díla nejpozději do 30 dnů od </w:t>
      </w:r>
      <w:r>
        <w:t>jejího oznámení objednatelem, pokud se smluvní strany v konkrétním případě nedohodnou písemně jinak.</w:t>
      </w:r>
    </w:p>
    <w:p w:rsidR="00CD67CA" w:rsidRDefault="00B12F09">
      <w:pPr>
        <w:numPr>
          <w:ilvl w:val="0"/>
          <w:numId w:val="10"/>
        </w:numPr>
        <w:ind w:right="14" w:hanging="367"/>
      </w:pPr>
      <w:r>
        <w:t>Provedenou opravu vady díla zhotovitel objednateli předá písemným protokolem.</w:t>
      </w:r>
    </w:p>
    <w:p w:rsidR="00CD67CA" w:rsidRDefault="00B12F09">
      <w:pPr>
        <w:numPr>
          <w:ilvl w:val="0"/>
          <w:numId w:val="10"/>
        </w:numPr>
        <w:spacing w:after="59"/>
        <w:ind w:right="14" w:hanging="367"/>
      </w:pPr>
      <w:r>
        <w:t>Na provedenou opravu poskytne zhotovitel záruku v délce 24 měsíců.</w:t>
      </w:r>
    </w:p>
    <w:p w:rsidR="00CD67CA" w:rsidRDefault="00B12F09">
      <w:pPr>
        <w:numPr>
          <w:ilvl w:val="0"/>
          <w:numId w:val="10"/>
        </w:numPr>
        <w:spacing w:after="241"/>
        <w:ind w:right="14" w:hanging="367"/>
      </w:pPr>
      <w:r>
        <w:t>Zhotovitel</w:t>
      </w:r>
      <w:r>
        <w:t xml:space="preserve"> je povinen uhradit objednateli škodu, která mu vznikla vadným plněním, a to v plné výši. Zhotovitel rovněž objednateli uhradí náklady vzniklé při uplatňování práv z vadného plnění.</w:t>
      </w:r>
    </w:p>
    <w:p w:rsidR="00CD67CA" w:rsidRDefault="00B12F09">
      <w:pPr>
        <w:spacing w:after="0" w:line="259" w:lineRule="auto"/>
        <w:ind w:left="101" w:right="0" w:firstLine="0"/>
        <w:jc w:val="center"/>
      </w:pPr>
      <w:r>
        <w:rPr>
          <w:sz w:val="38"/>
        </w:rPr>
        <w:t>x.</w:t>
      </w:r>
    </w:p>
    <w:p w:rsidR="00CD67CA" w:rsidRDefault="00B12F09">
      <w:pPr>
        <w:spacing w:after="0" w:line="259" w:lineRule="auto"/>
        <w:ind w:left="176" w:right="43" w:hanging="10"/>
        <w:jc w:val="center"/>
      </w:pPr>
      <w:r>
        <w:rPr>
          <w:sz w:val="30"/>
        </w:rPr>
        <w:t>Sankce</w:t>
      </w:r>
    </w:p>
    <w:p w:rsidR="00CD67CA" w:rsidRDefault="00B12F09">
      <w:pPr>
        <w:numPr>
          <w:ilvl w:val="0"/>
          <w:numId w:val="11"/>
        </w:numPr>
        <w:spacing w:after="79"/>
        <w:ind w:right="14"/>
      </w:pPr>
      <w:r>
        <w:t>V případě, že zhotovitel neprovede dílo (jeho část) včas, je pov</w:t>
      </w:r>
      <w:r>
        <w:t>inen zaplatit objednateli smluvní pokutu ve výši 0,1 % z ceny za dílo bez DPH dle čl. IV odst. 1 této smlouvy, a to za každý započatý den prodlení.</w:t>
      </w:r>
    </w:p>
    <w:p w:rsidR="00CD67CA" w:rsidRDefault="00B12F09">
      <w:pPr>
        <w:numPr>
          <w:ilvl w:val="0"/>
          <w:numId w:val="11"/>
        </w:numPr>
        <w:ind w:right="14"/>
      </w:pPr>
      <w:r>
        <w:t>Pokud zhotovitel neodstraní vadu díla ve lhůtě uvedené v čl. IX odst. 7 této smlouvy, je povinen zaplatit ob</w:t>
      </w:r>
      <w:r>
        <w:t>jednateli smluvní pokutu ve výši 0,05 % z ceny za dílo bez DPH dle čl. IV odst. 1 této smlouvy, a to za každý započatý den prodlení.</w:t>
      </w:r>
    </w:p>
    <w:p w:rsidR="00CD67CA" w:rsidRDefault="00B12F09">
      <w:pPr>
        <w:numPr>
          <w:ilvl w:val="0"/>
          <w:numId w:val="11"/>
        </w:numPr>
        <w:spacing w:after="101"/>
        <w:ind w:right="14"/>
      </w:pPr>
      <w:r>
        <w:t>Pro případ prodlení se zaplacením ceny za dilo sjednávají smluvní strany úrok z prodlení ve výši stanovené občanskoprávními předpisy.</w:t>
      </w:r>
    </w:p>
    <w:p w:rsidR="00CD67CA" w:rsidRDefault="00B12F09">
      <w:pPr>
        <w:numPr>
          <w:ilvl w:val="0"/>
          <w:numId w:val="11"/>
        </w:numPr>
        <w:spacing w:after="548"/>
        <w:ind w:right="14"/>
      </w:pPr>
      <w:r>
        <w:t xml:space="preserve">Smluvní pokuty se nezapočítávají na náhradu případně vzniklé škody, kterou lze vymáhat samostatně vedle smluvní pokuty, a </w:t>
      </w:r>
      <w:r>
        <w:t>to v plné výši.</w:t>
      </w:r>
    </w:p>
    <w:p w:rsidR="00CD67CA" w:rsidRDefault="00B12F09">
      <w:pPr>
        <w:spacing w:after="0" w:line="259" w:lineRule="auto"/>
        <w:ind w:left="125" w:right="0" w:hanging="10"/>
        <w:jc w:val="center"/>
      </w:pPr>
      <w:r>
        <w:rPr>
          <w:sz w:val="28"/>
        </w:rPr>
        <w:t>Zánik smlouvy</w:t>
      </w:r>
    </w:p>
    <w:p w:rsidR="00CD67CA" w:rsidRDefault="00B12F09">
      <w:pPr>
        <w:numPr>
          <w:ilvl w:val="0"/>
          <w:numId w:val="12"/>
        </w:numPr>
        <w:spacing w:after="79"/>
        <w:ind w:left="493" w:right="14"/>
      </w:pPr>
      <w:r>
        <w:t>Smluvní strany se dohodly, že smlouva zaniká:</w:t>
      </w:r>
    </w:p>
    <w:p w:rsidR="00CD67CA" w:rsidRDefault="00B12F09">
      <w:pPr>
        <w:numPr>
          <w:ilvl w:val="1"/>
          <w:numId w:val="12"/>
        </w:numPr>
        <w:ind w:right="14" w:hanging="360"/>
      </w:pPr>
      <w:r>
        <w:t>dohodou smluvních stran.</w:t>
      </w:r>
    </w:p>
    <w:p w:rsidR="00CD67CA" w:rsidRDefault="00B12F09">
      <w:pPr>
        <w:numPr>
          <w:ilvl w:val="1"/>
          <w:numId w:val="12"/>
        </w:numPr>
        <w:ind w:right="14" w:hanging="360"/>
      </w:pPr>
      <w:r>
        <w:t>jednostranným odstoupením od smlouvy pro její podstatné porušení druhou smluvní stranou, přičemž podstatným porušením smlouvy se rozumí zejména:</w:t>
      </w:r>
    </w:p>
    <w:p w:rsidR="00CD67CA" w:rsidRDefault="00B12F09">
      <w:pPr>
        <w:numPr>
          <w:ilvl w:val="2"/>
          <w:numId w:val="12"/>
        </w:numPr>
        <w:ind w:right="14" w:hanging="360"/>
      </w:pPr>
      <w:r>
        <w:t>neproveden</w:t>
      </w:r>
      <w:r>
        <w:t>í dila v době plnění dle čl. V odst. 2 této smlouvy,</w:t>
      </w:r>
    </w:p>
    <w:p w:rsidR="00CD67CA" w:rsidRDefault="00B12F09">
      <w:pPr>
        <w:numPr>
          <w:ilvl w:val="2"/>
          <w:numId w:val="12"/>
        </w:numPr>
        <w:ind w:right="14" w:hanging="360"/>
      </w:pPr>
      <w:r>
        <w:t>nedodržení pokynů objednatele, právních předpisů nebo technických norem, které se týkají provádění díla,</w:t>
      </w:r>
    </w:p>
    <w:p w:rsidR="00CD67CA" w:rsidRDefault="00B12F09">
      <w:pPr>
        <w:numPr>
          <w:ilvl w:val="2"/>
          <w:numId w:val="12"/>
        </w:numPr>
        <w:ind w:right="14" w:hanging="360"/>
      </w:pPr>
      <w:r>
        <w:t>nedodržení smluvních ujednání o záruce za jakost nebo o právech z vadného plnění,</w:t>
      </w:r>
    </w:p>
    <w:p w:rsidR="00CD67CA" w:rsidRDefault="00B12F09">
      <w:pPr>
        <w:numPr>
          <w:ilvl w:val="2"/>
          <w:numId w:val="12"/>
        </w:numPr>
        <w:spacing w:after="104"/>
        <w:ind w:right="14" w:hanging="360"/>
      </w:pPr>
      <w:r>
        <w:t>neuhrazení ceny za dílo objednatelem po druhé výzvě zhotovitele k uhrazení dlužné částky, přičemž druhá výzva nesmí následovat dříve než 30 dnů po doručení první výzvy.</w:t>
      </w:r>
    </w:p>
    <w:p w:rsidR="00CD67CA" w:rsidRDefault="00B12F09">
      <w:pPr>
        <w:numPr>
          <w:ilvl w:val="0"/>
          <w:numId w:val="12"/>
        </w:numPr>
        <w:spacing w:after="65"/>
        <w:ind w:left="493" w:right="14"/>
      </w:pPr>
      <w:r>
        <w:t>Objednatel je dále oprávněn od této smlouvy odstoupit v těchto případech:</w:t>
      </w:r>
    </w:p>
    <w:p w:rsidR="00CD67CA" w:rsidRDefault="00B12F09">
      <w:pPr>
        <w:numPr>
          <w:ilvl w:val="1"/>
          <w:numId w:val="12"/>
        </w:numPr>
        <w:ind w:right="14" w:hanging="360"/>
      </w:pPr>
      <w:r>
        <w:t>bylo-li přísl</w:t>
      </w:r>
      <w:r>
        <w:t>ušným soudem rozhodnuto o tom, že zhotovitel je v úpadku ve smyslu zákona č. 182/2006 Sb., o úpadku a způsobech jeho řešení (insolvenční zákon), ve znění pozdějších předpisů (a to bez ohledu na právní moc tohoto rozhodnutí);</w:t>
      </w:r>
    </w:p>
    <w:p w:rsidR="00CD67CA" w:rsidRDefault="00B12F09">
      <w:pPr>
        <w:numPr>
          <w:ilvl w:val="1"/>
          <w:numId w:val="12"/>
        </w:numPr>
        <w:spacing w:after="476"/>
        <w:ind w:right="14" w:hanging="360"/>
      </w:pPr>
      <w:r>
        <w:t xml:space="preserve">podá-li zhotovitel sám na sebe </w:t>
      </w:r>
      <w:r>
        <w:t>insolvenční návrh.</w:t>
      </w:r>
    </w:p>
    <w:p w:rsidR="00CD67CA" w:rsidRDefault="00B12F09">
      <w:pPr>
        <w:spacing w:after="0" w:line="259" w:lineRule="auto"/>
        <w:ind w:left="4774" w:right="0" w:firstLine="0"/>
        <w:jc w:val="center"/>
      </w:pPr>
      <w:r>
        <w:rPr>
          <w:sz w:val="16"/>
        </w:rPr>
        <w:t>Opas.m</w:t>
      </w:r>
    </w:p>
    <w:p w:rsidR="00CD67CA" w:rsidRDefault="00B12F09">
      <w:pPr>
        <w:numPr>
          <w:ilvl w:val="0"/>
          <w:numId w:val="12"/>
        </w:numPr>
        <w:spacing w:after="580"/>
        <w:ind w:left="493" w:right="14"/>
      </w:pPr>
      <w:r>
        <w:t>Pro účely této smlouvy se pod pojmem „bez zbytečného odkladu" dle S 2002 občanského zákoníku rozumí „nejpozději do 3 týdnů".</w:t>
      </w:r>
    </w:p>
    <w:p w:rsidR="00CD67CA" w:rsidRDefault="00B12F09">
      <w:pPr>
        <w:spacing w:after="32" w:line="259" w:lineRule="auto"/>
        <w:ind w:left="125" w:right="259" w:hanging="10"/>
        <w:jc w:val="center"/>
      </w:pPr>
      <w:r>
        <w:rPr>
          <w:sz w:val="28"/>
        </w:rPr>
        <w:t>Závěrečná ustanovení</w:t>
      </w:r>
    </w:p>
    <w:p w:rsidR="00CD67CA" w:rsidRDefault="00B12F09">
      <w:pPr>
        <w:numPr>
          <w:ilvl w:val="0"/>
          <w:numId w:val="13"/>
        </w:numPr>
        <w:spacing w:after="83"/>
        <w:ind w:left="370" w:right="137"/>
      </w:pPr>
      <w:r>
        <w:t>Tato smlouva nabývá platnosti dnem jejího podpisu oběma smluvními stranami a účinnosti dnem, kdy objednatel obdrží písemné oznámení poskytovatele dotace o tom, že žádost o podporu byla doporučena k financování, pokud nestanoví zákon č. 340/2015 Sb., o zvlá</w:t>
      </w:r>
      <w:r>
        <w:t>štních podmínkách účinnosti některých smluv, uveřejňování těchto smluv a o registru smluv (zákon o registru smluv), jinak. V takovém případě smlouva nabývá účinnosti nejdříve uveřejněním v registru smluv.</w:t>
      </w:r>
    </w:p>
    <w:p w:rsidR="00CD67CA" w:rsidRDefault="00B12F09">
      <w:pPr>
        <w:numPr>
          <w:ilvl w:val="0"/>
          <w:numId w:val="13"/>
        </w:numPr>
        <w:ind w:left="370" w:right="137"/>
      </w:pPr>
      <w:r>
        <w:t>Doplňování nebo změnu této smlouvy lze provádět jen</w:t>
      </w:r>
      <w:r>
        <w:t xml:space="preserve"> se souhlasem obou smluvních stran, a to pouze formou písemných, vzestupně číslovaných dodatků.</w:t>
      </w:r>
    </w:p>
    <w:p w:rsidR="00CD67CA" w:rsidRDefault="00B12F09">
      <w:pPr>
        <w:numPr>
          <w:ilvl w:val="0"/>
          <w:numId w:val="13"/>
        </w:numPr>
        <w:ind w:left="370" w:right="137"/>
      </w:pPr>
      <w:r>
        <w:t>Zhotovitel nemůže bez souhlasu objednatele postoupit svá práva a povinnosti plynoucí z této smlouvy třetí straně.</w:t>
      </w:r>
    </w:p>
    <w:p w:rsidR="00CD67CA" w:rsidRDefault="00B12F09">
      <w:pPr>
        <w:numPr>
          <w:ilvl w:val="0"/>
          <w:numId w:val="13"/>
        </w:numPr>
        <w:ind w:left="370" w:right="137"/>
      </w:pPr>
      <w:r>
        <w:t>Tato smlouva je vyhotovena ve 3 stejnopisech s</w:t>
      </w:r>
      <w:r>
        <w:t xml:space="preserve"> platností originálu, přičemž objednatel obdrží 2 a zhotovitel 1 její vyhotovení.</w:t>
      </w:r>
    </w:p>
    <w:p w:rsidR="00CD67CA" w:rsidRDefault="00B12F09">
      <w:pPr>
        <w:numPr>
          <w:ilvl w:val="0"/>
          <w:numId w:val="13"/>
        </w:numPr>
        <w:spacing w:after="85"/>
        <w:ind w:left="370" w:right="137"/>
      </w:pPr>
      <w:r>
        <w:t>Smluvní strany shodně prohlašují, že si tuto smlouvu před jejím podpisem přečetly a že byla uzavřena po vzájemném projednání podle jejich pravé a svobodné vůle, určitě, vážně</w:t>
      </w:r>
      <w:r>
        <w:t xml:space="preserve"> a srozumitelně, nikoliv v tísni nebo za nápadně nevýhodných podmínek, a že se dohodly o celém jejím obsahu, což stvrzují svými podpisy.</w:t>
      </w:r>
    </w:p>
    <w:p w:rsidR="00CD67CA" w:rsidRDefault="00B12F09">
      <w:pPr>
        <w:numPr>
          <w:ilvl w:val="0"/>
          <w:numId w:val="13"/>
        </w:numPr>
        <w:spacing w:after="465"/>
        <w:ind w:left="370" w:right="137"/>
      </w:pPr>
      <w:r>
        <w:rPr>
          <w:rFonts w:ascii="Times New Roman" w:eastAsia="Times New Roman" w:hAnsi="Times New Roman" w:cs="Times New Roman"/>
          <w:noProof/>
          <w:sz w:val="22"/>
        </w:rPr>
        <mc:AlternateContent>
          <mc:Choice Requires="wpg">
            <w:drawing>
              <wp:anchor distT="0" distB="0" distL="114300" distR="114300" simplePos="0" relativeHeight="251663360" behindDoc="0" locked="0" layoutInCell="1" allowOverlap="1">
                <wp:simplePos x="0" y="0"/>
                <wp:positionH relativeFrom="page">
                  <wp:posOffset>4210812</wp:posOffset>
                </wp:positionH>
                <wp:positionV relativeFrom="page">
                  <wp:posOffset>6937268</wp:posOffset>
                </wp:positionV>
                <wp:extent cx="3131820" cy="9141"/>
                <wp:effectExtent l="0" t="0" r="0" b="0"/>
                <wp:wrapTopAndBottom/>
                <wp:docPr id="47227" name="Group 47227"/>
                <wp:cNvGraphicFramePr/>
                <a:graphic xmlns:a="http://schemas.openxmlformats.org/drawingml/2006/main">
                  <a:graphicData uri="http://schemas.microsoft.com/office/word/2010/wordprocessingGroup">
                    <wpg:wgp>
                      <wpg:cNvGrpSpPr/>
                      <wpg:grpSpPr>
                        <a:xfrm>
                          <a:off x="0" y="0"/>
                          <a:ext cx="3131820" cy="9141"/>
                          <a:chOff x="0" y="0"/>
                          <a:chExt cx="3131820" cy="9141"/>
                        </a:xfrm>
                      </wpg:grpSpPr>
                      <wps:wsp>
                        <wps:cNvPr id="47226" name="Shape 47226"/>
                        <wps:cNvSpPr/>
                        <wps:spPr>
                          <a:xfrm>
                            <a:off x="0" y="0"/>
                            <a:ext cx="3131820" cy="9141"/>
                          </a:xfrm>
                          <a:custGeom>
                            <a:avLst/>
                            <a:gdLst/>
                            <a:ahLst/>
                            <a:cxnLst/>
                            <a:rect l="0" t="0" r="0" b="0"/>
                            <a:pathLst>
                              <a:path w="3131820" h="9141">
                                <a:moveTo>
                                  <a:pt x="0" y="4570"/>
                                </a:moveTo>
                                <a:lnTo>
                                  <a:pt x="3131820" y="4570"/>
                                </a:lnTo>
                              </a:path>
                            </a:pathLst>
                          </a:custGeom>
                          <a:ln w="9141"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47227" style="width:246.6pt;height:0.719727pt;position:absolute;mso-position-horizontal-relative:page;mso-position-horizontal:absolute;margin-left:331.56pt;mso-position-vertical-relative:page;margin-top:546.242pt;" coordsize="31318,91">
                <v:shape id="Shape 47226" style="position:absolute;width:31318;height:91;left:0;top:0;" coordsize="3131820,9141" path="m0,4570l3131820,4570">
                  <v:stroke weight="0.719727pt" endcap="flat" joinstyle="miter" miterlimit="1" on="true" color="#000000"/>
                  <v:fill on="false" color="#000000"/>
                </v:shape>
                <w10:wrap type="topAndBottom"/>
              </v:group>
            </w:pict>
          </mc:Fallback>
        </mc:AlternateContent>
      </w:r>
      <w:r>
        <w:rPr>
          <w:noProof/>
        </w:rPr>
        <w:drawing>
          <wp:anchor distT="0" distB="0" distL="114300" distR="114300" simplePos="0" relativeHeight="251664384" behindDoc="0" locked="0" layoutInCell="1" allowOverlap="0">
            <wp:simplePos x="0" y="0"/>
            <wp:positionH relativeFrom="page">
              <wp:posOffset>6496812</wp:posOffset>
            </wp:positionH>
            <wp:positionV relativeFrom="page">
              <wp:posOffset>7165768</wp:posOffset>
            </wp:positionV>
            <wp:extent cx="845819" cy="297050"/>
            <wp:effectExtent l="0" t="0" r="0" b="0"/>
            <wp:wrapTopAndBottom/>
            <wp:docPr id="26832" name="Picture 26832"/>
            <wp:cNvGraphicFramePr/>
            <a:graphic xmlns:a="http://schemas.openxmlformats.org/drawingml/2006/main">
              <a:graphicData uri="http://schemas.openxmlformats.org/drawingml/2006/picture">
                <pic:pic xmlns:pic="http://schemas.openxmlformats.org/drawingml/2006/picture">
                  <pic:nvPicPr>
                    <pic:cNvPr id="26832" name="Picture 26832"/>
                    <pic:cNvPicPr/>
                  </pic:nvPicPr>
                  <pic:blipFill>
                    <a:blip r:embed="rId29"/>
                    <a:stretch>
                      <a:fillRect/>
                    </a:stretch>
                  </pic:blipFill>
                  <pic:spPr>
                    <a:xfrm>
                      <a:off x="0" y="0"/>
                      <a:ext cx="845819" cy="297050"/>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0</wp:posOffset>
            </wp:positionH>
            <wp:positionV relativeFrom="page">
              <wp:posOffset>6663067</wp:posOffset>
            </wp:positionV>
            <wp:extent cx="3451860" cy="850020"/>
            <wp:effectExtent l="0" t="0" r="0" b="0"/>
            <wp:wrapSquare wrapText="bothSides"/>
            <wp:docPr id="47222" name="Picture 47222"/>
            <wp:cNvGraphicFramePr/>
            <a:graphic xmlns:a="http://schemas.openxmlformats.org/drawingml/2006/main">
              <a:graphicData uri="http://schemas.openxmlformats.org/drawingml/2006/picture">
                <pic:pic xmlns:pic="http://schemas.openxmlformats.org/drawingml/2006/picture">
                  <pic:nvPicPr>
                    <pic:cNvPr id="47222" name="Picture 47222"/>
                    <pic:cNvPicPr/>
                  </pic:nvPicPr>
                  <pic:blipFill>
                    <a:blip r:embed="rId30"/>
                    <a:stretch>
                      <a:fillRect/>
                    </a:stretch>
                  </pic:blipFill>
                  <pic:spPr>
                    <a:xfrm>
                      <a:off x="0" y="0"/>
                      <a:ext cx="3451860" cy="850020"/>
                    </a:xfrm>
                    <a:prstGeom prst="rect">
                      <a:avLst/>
                    </a:prstGeom>
                  </pic:spPr>
                </pic:pic>
              </a:graphicData>
            </a:graphic>
          </wp:anchor>
        </w:drawing>
      </w:r>
      <w:r>
        <w:t>Smluvní strany se dohodly, že pokud se na tuto smlouvu vztahuje povinnost uveřejnění v registru smluv ve smyslu záko</w:t>
      </w:r>
      <w:r>
        <w:t>na č. 340/2015 Sb., o zvláštních podmínkách účinnosti některých smluv, uveřejňování těchto smluv a o registru smluv (zákon o registru smluv), provede uveřejnění v souladu se zákonem objednatel.</w:t>
      </w:r>
    </w:p>
    <w:p w:rsidR="00CD67CA" w:rsidRDefault="00B12F09">
      <w:pPr>
        <w:numPr>
          <w:ilvl w:val="0"/>
          <w:numId w:val="13"/>
        </w:numPr>
        <w:ind w:left="370" w:right="137"/>
      </w:pPr>
      <w:r>
        <w:t>Nedílnou součástí této smlouvy jsou následující přílohy: Přílo</w:t>
      </w:r>
      <w:r>
        <w:t>ha č. 1: Podrobná specifikace a rozpis ceny za dílo</w:t>
      </w:r>
    </w:p>
    <w:p w:rsidR="00CD67CA" w:rsidRDefault="00CD67CA">
      <w:pPr>
        <w:sectPr w:rsidR="00CD67CA">
          <w:footerReference w:type="even" r:id="rId31"/>
          <w:footerReference w:type="default" r:id="rId32"/>
          <w:footerReference w:type="first" r:id="rId33"/>
          <w:pgSz w:w="11563" w:h="16488"/>
          <w:pgMar w:top="1508" w:right="821" w:bottom="288" w:left="1519" w:header="720" w:footer="273" w:gutter="0"/>
          <w:cols w:space="720"/>
        </w:sectPr>
      </w:pPr>
    </w:p>
    <w:p w:rsidR="00CD67CA" w:rsidRDefault="00B12F09">
      <w:pPr>
        <w:ind w:left="475" w:right="14" w:firstLine="0"/>
      </w:pPr>
      <w:r>
        <w:t>za objednatele</w:t>
      </w:r>
    </w:p>
    <w:p w:rsidR="00CD67CA" w:rsidRDefault="00B12F09">
      <w:pPr>
        <w:spacing w:after="205"/>
        <w:ind w:left="14" w:right="14" w:firstLine="0"/>
      </w:pPr>
      <w:r>
        <w:t>Ing. Arnošt Klein, ředitel</w:t>
      </w:r>
    </w:p>
    <w:p w:rsidR="00CD67CA" w:rsidRDefault="00B12F09">
      <w:pPr>
        <w:spacing w:after="0" w:line="216" w:lineRule="auto"/>
        <w:ind w:left="29" w:right="0" w:firstLine="79"/>
        <w:jc w:val="left"/>
      </w:pPr>
      <w:r>
        <w:rPr>
          <w:sz w:val="28"/>
        </w:rPr>
        <w:t>Školní statek, Opava,</w:t>
      </w:r>
      <w:r>
        <w:rPr>
          <w:sz w:val="28"/>
          <w:vertAlign w:val="superscript"/>
        </w:rPr>
        <w:t xml:space="preserve">ll </w:t>
      </w:r>
      <w:r>
        <w:rPr>
          <w:sz w:val="28"/>
          <w:u w:val="single" w:color="000000"/>
        </w:rPr>
        <w:t>příspěvková organizace</w:t>
      </w:r>
    </w:p>
    <w:p w:rsidR="00CD67CA" w:rsidRDefault="00B12F09">
      <w:pPr>
        <w:spacing w:after="0" w:line="259" w:lineRule="auto"/>
        <w:ind w:left="43" w:right="0" w:firstLine="0"/>
        <w:jc w:val="left"/>
      </w:pPr>
      <w:r>
        <w:rPr>
          <w:sz w:val="22"/>
        </w:rPr>
        <w:t>Engiišova 526, 746 01 OPAVA</w:t>
      </w:r>
    </w:p>
    <w:p w:rsidR="00CD67CA" w:rsidRDefault="00B12F09">
      <w:pPr>
        <w:spacing w:after="0" w:line="259" w:lineRule="auto"/>
        <w:ind w:left="50" w:right="0" w:firstLine="0"/>
        <w:jc w:val="left"/>
      </w:pPr>
      <w:r>
        <w:rPr>
          <w:sz w:val="20"/>
        </w:rPr>
        <w:t>IC: 00098752, DIČ: czoooge752</w:t>
      </w:r>
    </w:p>
    <w:p w:rsidR="00CD67CA" w:rsidRDefault="00B12F09">
      <w:pPr>
        <w:spacing w:after="83" w:line="259" w:lineRule="auto"/>
        <w:ind w:left="0" w:right="0" w:firstLine="0"/>
        <w:jc w:val="left"/>
      </w:pPr>
      <w:r>
        <w:rPr>
          <w:sz w:val="26"/>
        </w:rPr>
        <w:t>V Oticích dne: 22. 10. 2019</w:t>
      </w:r>
    </w:p>
    <w:p w:rsidR="00CD67CA" w:rsidRDefault="00B12F09">
      <w:pPr>
        <w:tabs>
          <w:tab w:val="center" w:pos="1231"/>
          <w:tab w:val="center" w:pos="2315"/>
        </w:tabs>
        <w:spacing w:before="1011" w:after="16" w:line="259" w:lineRule="auto"/>
        <w:ind w:left="0" w:right="0" w:firstLine="0"/>
        <w:jc w:val="left"/>
      </w:pPr>
      <w:r>
        <w:rPr>
          <w:rFonts w:ascii="Times New Roman" w:eastAsia="Times New Roman" w:hAnsi="Times New Roman" w:cs="Times New Roman"/>
        </w:rPr>
        <w:tab/>
        <w:t>za z</w:t>
      </w:r>
      <w:r>
        <w:rPr>
          <w:rFonts w:ascii="Times New Roman" w:eastAsia="Times New Roman" w:hAnsi="Times New Roman" w:cs="Times New Roman"/>
        </w:rPr>
        <w:tab/>
      </w:r>
      <w:r>
        <w:rPr>
          <w:noProof/>
        </w:rPr>
        <w:drawing>
          <wp:inline distT="0" distB="0" distL="0" distR="0">
            <wp:extent cx="68580" cy="86830"/>
            <wp:effectExtent l="0" t="0" r="0" b="0"/>
            <wp:docPr id="26731" name="Picture 26731"/>
            <wp:cNvGraphicFramePr/>
            <a:graphic xmlns:a="http://schemas.openxmlformats.org/drawingml/2006/main">
              <a:graphicData uri="http://schemas.openxmlformats.org/drawingml/2006/picture">
                <pic:pic xmlns:pic="http://schemas.openxmlformats.org/drawingml/2006/picture">
                  <pic:nvPicPr>
                    <pic:cNvPr id="26731" name="Picture 26731"/>
                    <pic:cNvPicPr/>
                  </pic:nvPicPr>
                  <pic:blipFill>
                    <a:blip r:embed="rId34"/>
                    <a:stretch>
                      <a:fillRect/>
                    </a:stretch>
                  </pic:blipFill>
                  <pic:spPr>
                    <a:xfrm>
                      <a:off x="0" y="0"/>
                      <a:ext cx="68580" cy="86830"/>
                    </a:xfrm>
                    <a:prstGeom prst="rect">
                      <a:avLst/>
                    </a:prstGeom>
                  </pic:spPr>
                </pic:pic>
              </a:graphicData>
            </a:graphic>
          </wp:inline>
        </w:drawing>
      </w:r>
    </w:p>
    <w:p w:rsidR="00CD67CA" w:rsidRDefault="00B12F09">
      <w:pPr>
        <w:spacing w:after="399" w:line="259" w:lineRule="auto"/>
        <w:ind w:left="0" w:right="58" w:firstLine="0"/>
        <w:jc w:val="right"/>
      </w:pPr>
      <w:r>
        <w:t>Jarmila Branic o , jednatel</w:t>
      </w:r>
    </w:p>
    <w:p w:rsidR="00CD67CA" w:rsidRDefault="00B12F09">
      <w:pPr>
        <w:spacing w:after="65" w:line="259" w:lineRule="auto"/>
        <w:ind w:left="598" w:right="0" w:firstLine="0"/>
        <w:jc w:val="left"/>
      </w:pPr>
      <w:r>
        <w:rPr>
          <w:noProof/>
        </w:rPr>
        <w:drawing>
          <wp:inline distT="0" distB="0" distL="0" distR="0">
            <wp:extent cx="1600200" cy="301621"/>
            <wp:effectExtent l="0" t="0" r="0" b="0"/>
            <wp:docPr id="47224" name="Picture 47224"/>
            <wp:cNvGraphicFramePr/>
            <a:graphic xmlns:a="http://schemas.openxmlformats.org/drawingml/2006/main">
              <a:graphicData uri="http://schemas.openxmlformats.org/drawingml/2006/picture">
                <pic:pic xmlns:pic="http://schemas.openxmlformats.org/drawingml/2006/picture">
                  <pic:nvPicPr>
                    <pic:cNvPr id="47224" name="Picture 47224"/>
                    <pic:cNvPicPr/>
                  </pic:nvPicPr>
                  <pic:blipFill>
                    <a:blip r:embed="rId35"/>
                    <a:stretch>
                      <a:fillRect/>
                    </a:stretch>
                  </pic:blipFill>
                  <pic:spPr>
                    <a:xfrm>
                      <a:off x="0" y="0"/>
                      <a:ext cx="1600200" cy="301621"/>
                    </a:xfrm>
                    <a:prstGeom prst="rect">
                      <a:avLst/>
                    </a:prstGeom>
                  </pic:spPr>
                </pic:pic>
              </a:graphicData>
            </a:graphic>
          </wp:inline>
        </w:drawing>
      </w:r>
    </w:p>
    <w:p w:rsidR="00CD67CA" w:rsidRDefault="00B12F09">
      <w:pPr>
        <w:pStyle w:val="Heading2"/>
        <w:spacing w:after="1911"/>
        <w:ind w:left="0"/>
      </w:pPr>
      <w:r>
        <w:t>IC:2860737ô, DIC:CZ28607376</w:t>
      </w:r>
    </w:p>
    <w:p w:rsidR="00CD67CA" w:rsidRDefault="00B12F09">
      <w:pPr>
        <w:spacing w:after="0" w:line="259" w:lineRule="auto"/>
        <w:ind w:left="1037" w:right="0" w:firstLine="0"/>
        <w:jc w:val="left"/>
      </w:pPr>
      <w:r>
        <w:rPr>
          <w:sz w:val="16"/>
        </w:rPr>
        <w:t>Opava</w:t>
      </w:r>
      <w:r>
        <w:rPr>
          <w:sz w:val="16"/>
          <w:vertAlign w:val="superscript"/>
        </w:rPr>
        <w:t>n</w:t>
      </w:r>
    </w:p>
    <w:sectPr w:rsidR="00CD67CA">
      <w:type w:val="continuous"/>
      <w:pgSz w:w="11563" w:h="16488"/>
      <w:pgMar w:top="1440" w:right="1339" w:bottom="1440" w:left="2398" w:header="720" w:footer="720" w:gutter="0"/>
      <w:cols w:num="2" w:space="720" w:equalWidth="0">
        <w:col w:w="2614" w:space="2095"/>
        <w:col w:w="311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12F09">
      <w:pPr>
        <w:spacing w:after="0" w:line="240" w:lineRule="auto"/>
      </w:pPr>
      <w:r>
        <w:separator/>
      </w:r>
    </w:p>
  </w:endnote>
  <w:endnote w:type="continuationSeparator" w:id="0">
    <w:p w:rsidR="00000000" w:rsidRDefault="00B12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CA" w:rsidRDefault="00B12F09">
    <w:pPr>
      <w:tabs>
        <w:tab w:val="center" w:pos="518"/>
        <w:tab w:val="center" w:pos="4381"/>
        <w:tab w:val="right" w:pos="9562"/>
      </w:tabs>
      <w:spacing w:after="0" w:line="259" w:lineRule="auto"/>
      <w:ind w:left="0" w:right="-209" w:firstLine="0"/>
      <w:jc w:val="left"/>
    </w:pPr>
    <w:r>
      <w:rPr>
        <w:rFonts w:ascii="Times New Roman" w:eastAsia="Times New Roman" w:hAnsi="Times New Roman" w:cs="Times New Roman"/>
        <w:sz w:val="22"/>
      </w:rPr>
      <w:tab/>
    </w:r>
    <w:r>
      <w:rPr>
        <w:sz w:val="16"/>
      </w:rPr>
      <w:t xml:space="preserve">Dodávka </w:t>
    </w:r>
    <w:r>
      <w:rPr>
        <w:sz w:val="16"/>
      </w:rPr>
      <w:tab/>
      <w:t xml:space="preserve">multimediální učebny rámci projektu </w:t>
    </w:r>
    <w:r>
      <w:rPr>
        <w:sz w:val="14"/>
      </w:rPr>
      <w:t xml:space="preserve">„Modernizace </w:t>
    </w:r>
    <w:r>
      <w:rPr>
        <w:sz w:val="16"/>
      </w:rPr>
      <w:t>odborn</w:t>
    </w:r>
    <w:r>
      <w:rPr>
        <w:sz w:val="16"/>
      </w:rPr>
      <w:t xml:space="preserve">ých učeben </w:t>
    </w:r>
    <w:r>
      <w:rPr>
        <w:sz w:val="18"/>
      </w:rPr>
      <w:t xml:space="preserve">ve </w:t>
    </w:r>
    <w:r>
      <w:rPr>
        <w:sz w:val="16"/>
      </w:rPr>
      <w:t xml:space="preserve">Školním statku </w:t>
    </w:r>
    <w:r>
      <w:rPr>
        <w:sz w:val="20"/>
      </w:rPr>
      <w:t>Opavľ</w:t>
    </w:r>
    <w:r>
      <w:rPr>
        <w:sz w:val="20"/>
      </w:rPr>
      <w:tab/>
    </w: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CA" w:rsidRDefault="00B12F09">
    <w:pPr>
      <w:tabs>
        <w:tab w:val="right" w:pos="9353"/>
      </w:tabs>
      <w:spacing w:after="0" w:line="259" w:lineRule="auto"/>
      <w:ind w:left="0" w:right="-79" w:firstLine="0"/>
      <w:jc w:val="left"/>
    </w:pPr>
    <w:r>
      <w:rPr>
        <w:rFonts w:ascii="Times New Roman" w:eastAsia="Times New Roman" w:hAnsi="Times New Roman" w:cs="Times New Roman"/>
        <w:sz w:val="16"/>
      </w:rPr>
      <w:t xml:space="preserve">Dodávka vybavení multimediální učebny rámci projektu </w:t>
    </w:r>
    <w:r>
      <w:rPr>
        <w:rFonts w:ascii="Times New Roman" w:eastAsia="Times New Roman" w:hAnsi="Times New Roman" w:cs="Times New Roman"/>
        <w:sz w:val="14"/>
      </w:rPr>
      <w:t xml:space="preserve">„Modernizace </w:t>
    </w:r>
    <w:r>
      <w:rPr>
        <w:rFonts w:ascii="Times New Roman" w:eastAsia="Times New Roman" w:hAnsi="Times New Roman" w:cs="Times New Roman"/>
        <w:sz w:val="16"/>
      </w:rPr>
      <w:t>odborných učeben ve Školním statku Opava</w:t>
    </w:r>
    <w:r>
      <w:rPr>
        <w:rFonts w:ascii="Times New Roman" w:eastAsia="Times New Roman" w:hAnsi="Times New Roman" w:cs="Times New Roman"/>
        <w:sz w:val="16"/>
      </w:rPr>
      <w:tab/>
    </w: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CA" w:rsidRDefault="00B12F09">
    <w:pPr>
      <w:tabs>
        <w:tab w:val="right" w:pos="9353"/>
      </w:tabs>
      <w:spacing w:after="0" w:line="259" w:lineRule="auto"/>
      <w:ind w:left="0" w:right="-79" w:firstLine="0"/>
      <w:jc w:val="left"/>
    </w:pPr>
    <w:r>
      <w:rPr>
        <w:rFonts w:ascii="Times New Roman" w:eastAsia="Times New Roman" w:hAnsi="Times New Roman" w:cs="Times New Roman"/>
        <w:sz w:val="16"/>
      </w:rPr>
      <w:t xml:space="preserve">Dodávka vybavení multimediální učebny rámci projektu </w:t>
    </w:r>
    <w:r>
      <w:rPr>
        <w:rFonts w:ascii="Times New Roman" w:eastAsia="Times New Roman" w:hAnsi="Times New Roman" w:cs="Times New Roman"/>
        <w:sz w:val="14"/>
      </w:rPr>
      <w:t>„Mode</w:t>
    </w:r>
    <w:r>
      <w:rPr>
        <w:rFonts w:ascii="Times New Roman" w:eastAsia="Times New Roman" w:hAnsi="Times New Roman" w:cs="Times New Roman"/>
        <w:sz w:val="14"/>
      </w:rPr>
      <w:t xml:space="preserve">rnizace </w:t>
    </w:r>
    <w:r>
      <w:rPr>
        <w:rFonts w:ascii="Times New Roman" w:eastAsia="Times New Roman" w:hAnsi="Times New Roman" w:cs="Times New Roman"/>
        <w:sz w:val="16"/>
      </w:rPr>
      <w:t>odborných učeben ve Školním statku Opava</w:t>
    </w:r>
    <w:r>
      <w:rPr>
        <w:rFonts w:ascii="Times New Roman" w:eastAsia="Times New Roman" w:hAnsi="Times New Roman" w:cs="Times New Roman"/>
        <w:sz w:val="16"/>
      </w:rPr>
      <w:tab/>
    </w: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CA" w:rsidRDefault="00B12F09">
    <w:pPr>
      <w:tabs>
        <w:tab w:val="right" w:pos="9259"/>
      </w:tabs>
      <w:spacing w:after="0" w:line="259" w:lineRule="auto"/>
      <w:ind w:left="0" w:right="-144" w:firstLine="0"/>
      <w:jc w:val="left"/>
    </w:pPr>
    <w:r>
      <w:rPr>
        <w:rFonts w:ascii="Times New Roman" w:eastAsia="Times New Roman" w:hAnsi="Times New Roman" w:cs="Times New Roman"/>
        <w:sz w:val="16"/>
      </w:rPr>
      <w:t xml:space="preserve">Dodávka vybavení multimediální učebny rámci projektu </w:t>
    </w:r>
    <w:r>
      <w:rPr>
        <w:rFonts w:ascii="Times New Roman" w:eastAsia="Times New Roman" w:hAnsi="Times New Roman" w:cs="Times New Roman"/>
        <w:sz w:val="14"/>
      </w:rPr>
      <w:t xml:space="preserve">„Modernizace </w:t>
    </w:r>
    <w:r>
      <w:rPr>
        <w:rFonts w:ascii="Times New Roman" w:eastAsia="Times New Roman" w:hAnsi="Times New Roman" w:cs="Times New Roman"/>
        <w:sz w:val="16"/>
      </w:rPr>
      <w:t>odborných učeben ve Školním statku Opava</w:t>
    </w:r>
    <w:r>
      <w:rPr>
        <w:rFonts w:ascii="Times New Roman" w:eastAsia="Times New Roman" w:hAnsi="Times New Roman" w:cs="Times New Roman"/>
        <w:sz w:val="16"/>
      </w:rPr>
      <w:tab/>
    </w: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CA" w:rsidRDefault="00B12F09">
    <w:pPr>
      <w:tabs>
        <w:tab w:val="right" w:pos="9259"/>
      </w:tabs>
      <w:spacing w:after="0" w:line="259" w:lineRule="auto"/>
      <w:ind w:left="0" w:right="-144" w:firstLine="0"/>
      <w:jc w:val="left"/>
    </w:pPr>
    <w:r>
      <w:rPr>
        <w:rFonts w:ascii="Times New Roman" w:eastAsia="Times New Roman" w:hAnsi="Times New Roman" w:cs="Times New Roman"/>
        <w:sz w:val="16"/>
      </w:rPr>
      <w:t xml:space="preserve">Dodávka vybavení multimediální učebny rámci projektu </w:t>
    </w:r>
    <w:r>
      <w:rPr>
        <w:rFonts w:ascii="Times New Roman" w:eastAsia="Times New Roman" w:hAnsi="Times New Roman" w:cs="Times New Roman"/>
        <w:sz w:val="14"/>
      </w:rPr>
      <w:t xml:space="preserve">„Modernizace </w:t>
    </w:r>
    <w:r>
      <w:rPr>
        <w:rFonts w:ascii="Times New Roman" w:eastAsia="Times New Roman" w:hAnsi="Times New Roman" w:cs="Times New Roman"/>
        <w:sz w:val="16"/>
      </w:rPr>
      <w:t>odborných učeben ve Školním statku Opava</w:t>
    </w:r>
    <w:r>
      <w:rPr>
        <w:rFonts w:ascii="Times New Roman" w:eastAsia="Times New Roman" w:hAnsi="Times New Roman" w:cs="Times New Roman"/>
        <w:sz w:val="16"/>
      </w:rPr>
      <w:tab/>
    </w: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CA" w:rsidRDefault="00B12F09">
    <w:pPr>
      <w:tabs>
        <w:tab w:val="right" w:pos="9259"/>
      </w:tabs>
      <w:spacing w:after="0" w:line="259" w:lineRule="auto"/>
      <w:ind w:left="0" w:right="-144" w:firstLine="0"/>
      <w:jc w:val="left"/>
    </w:pPr>
    <w:r>
      <w:rPr>
        <w:rFonts w:ascii="Times New Roman" w:eastAsia="Times New Roman" w:hAnsi="Times New Roman" w:cs="Times New Roman"/>
        <w:sz w:val="16"/>
      </w:rPr>
      <w:t xml:space="preserve">Dodávka vybavení multimediální učebny rámci projektu </w:t>
    </w:r>
    <w:r>
      <w:rPr>
        <w:rFonts w:ascii="Times New Roman" w:eastAsia="Times New Roman" w:hAnsi="Times New Roman" w:cs="Times New Roman"/>
        <w:sz w:val="14"/>
      </w:rPr>
      <w:t xml:space="preserve">„Modernizace </w:t>
    </w:r>
    <w:r>
      <w:rPr>
        <w:rFonts w:ascii="Times New Roman" w:eastAsia="Times New Roman" w:hAnsi="Times New Roman" w:cs="Times New Roman"/>
        <w:sz w:val="16"/>
      </w:rPr>
      <w:t>odborných učeben ve Školním statku Opava</w:t>
    </w:r>
    <w:r>
      <w:rPr>
        <w:rFonts w:ascii="Times New Roman" w:eastAsia="Times New Roman" w:hAnsi="Times New Roman" w:cs="Times New Roman"/>
        <w:sz w:val="16"/>
      </w:rPr>
      <w:tab/>
    </w: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CA" w:rsidRDefault="00B12F09">
    <w:pPr>
      <w:tabs>
        <w:tab w:val="right" w:pos="9454"/>
      </w:tabs>
      <w:spacing w:after="0" w:line="259" w:lineRule="auto"/>
      <w:ind w:left="0" w:right="-230" w:firstLine="0"/>
      <w:jc w:val="left"/>
    </w:pPr>
    <w:r>
      <w:rPr>
        <w:sz w:val="16"/>
      </w:rPr>
      <w:t xml:space="preserve">Dodávka vybavení multimediální učebny rámci projektu </w:t>
    </w:r>
    <w:r>
      <w:rPr>
        <w:sz w:val="14"/>
      </w:rPr>
      <w:t xml:space="preserve">„Modernizace </w:t>
    </w:r>
    <w:r>
      <w:rPr>
        <w:sz w:val="16"/>
      </w:rPr>
      <w:t xml:space="preserve">odborných učeben ve Školním statku </w:t>
    </w:r>
    <w:r>
      <w:rPr>
        <w:sz w:val="16"/>
      </w:rPr>
      <w:tab/>
    </w:r>
    <w:r>
      <w:fldChar w:fldCharType="begin"/>
    </w:r>
    <w:r>
      <w:instrText xml:space="preserve"> PAGE   \* MERGEFORMAT </w:instrText>
    </w:r>
    <w:r>
      <w:fldChar w:fldCharType="separate"/>
    </w:r>
    <w:r>
      <w:rPr>
        <w:rFonts w:ascii="Times New Roman" w:eastAsia="Times New Roman" w:hAnsi="Times New Roman" w:cs="Times New Roman"/>
        <w:sz w:val="26"/>
      </w:rPr>
      <w:t>8</w:t>
    </w:r>
    <w:r>
      <w:rPr>
        <w:rFonts w:ascii="Times New Roman" w:eastAsia="Times New Roman" w:hAnsi="Times New Roman" w:cs="Times New Roman"/>
        <w:sz w:val="2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CA" w:rsidRDefault="00B12F09">
    <w:pPr>
      <w:tabs>
        <w:tab w:val="right" w:pos="9454"/>
      </w:tabs>
      <w:spacing w:after="0" w:line="259" w:lineRule="auto"/>
      <w:ind w:left="0" w:right="-230" w:firstLine="0"/>
      <w:jc w:val="left"/>
    </w:pPr>
    <w:r>
      <w:rPr>
        <w:sz w:val="16"/>
      </w:rPr>
      <w:t xml:space="preserve">Dodávka vybavení multimediální učebny rámci projektu </w:t>
    </w:r>
    <w:r>
      <w:rPr>
        <w:sz w:val="14"/>
      </w:rPr>
      <w:t xml:space="preserve">„Modernizace </w:t>
    </w:r>
    <w:r>
      <w:rPr>
        <w:sz w:val="16"/>
      </w:rPr>
      <w:t>odbornýc</w:t>
    </w:r>
    <w:r>
      <w:rPr>
        <w:sz w:val="16"/>
      </w:rPr>
      <w:t xml:space="preserve">h učeben ve Školním statku </w:t>
    </w:r>
    <w:r>
      <w:rPr>
        <w:sz w:val="16"/>
      </w:rPr>
      <w:tab/>
    </w:r>
    <w:r>
      <w:fldChar w:fldCharType="begin"/>
    </w:r>
    <w:r>
      <w:instrText xml:space="preserve"> PAGE   \* MERGEFORMAT </w:instrText>
    </w:r>
    <w:r>
      <w:fldChar w:fldCharType="separate"/>
    </w:r>
    <w:r>
      <w:rPr>
        <w:rFonts w:ascii="Times New Roman" w:eastAsia="Times New Roman" w:hAnsi="Times New Roman" w:cs="Times New Roman"/>
        <w:sz w:val="26"/>
      </w:rPr>
      <w:t>8</w:t>
    </w:r>
    <w:r>
      <w:rPr>
        <w:rFonts w:ascii="Times New Roman" w:eastAsia="Times New Roman" w:hAnsi="Times New Roman" w:cs="Times New Roman"/>
        <w:sz w:val="2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CA" w:rsidRDefault="00B12F09">
    <w:pPr>
      <w:tabs>
        <w:tab w:val="right" w:pos="9454"/>
      </w:tabs>
      <w:spacing w:after="0" w:line="259" w:lineRule="auto"/>
      <w:ind w:left="0" w:right="-230" w:firstLine="0"/>
      <w:jc w:val="left"/>
    </w:pPr>
    <w:r>
      <w:rPr>
        <w:sz w:val="16"/>
      </w:rPr>
      <w:t xml:space="preserve">Dodávka vybavení multimediální učebny rámci projektu </w:t>
    </w:r>
    <w:r>
      <w:rPr>
        <w:sz w:val="14"/>
      </w:rPr>
      <w:t xml:space="preserve">„Modernizace </w:t>
    </w:r>
    <w:r>
      <w:rPr>
        <w:sz w:val="16"/>
      </w:rPr>
      <w:t xml:space="preserve">odborných učeben ve Školním statku </w:t>
    </w:r>
    <w:r>
      <w:rPr>
        <w:sz w:val="16"/>
      </w:rPr>
      <w:tab/>
    </w:r>
    <w:r>
      <w:fldChar w:fldCharType="begin"/>
    </w:r>
    <w:r>
      <w:instrText xml:space="preserve"> PAGE   \* MERGEFORMAT </w:instrText>
    </w:r>
    <w:r>
      <w:fldChar w:fldCharType="separate"/>
    </w:r>
    <w:r>
      <w:rPr>
        <w:rFonts w:ascii="Times New Roman" w:eastAsia="Times New Roman" w:hAnsi="Times New Roman" w:cs="Times New Roman"/>
        <w:sz w:val="26"/>
      </w:rPr>
      <w:t>8</w:t>
    </w:r>
    <w:r>
      <w:rPr>
        <w:rFonts w:ascii="Times New Roman" w:eastAsia="Times New Roman" w:hAnsi="Times New Roman" w:cs="Times New Roman"/>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12F09">
      <w:pPr>
        <w:spacing w:after="0" w:line="240" w:lineRule="auto"/>
      </w:pPr>
      <w:r>
        <w:separator/>
      </w:r>
    </w:p>
  </w:footnote>
  <w:footnote w:type="continuationSeparator" w:id="0">
    <w:p w:rsidR="00000000" w:rsidRDefault="00B12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11D6E"/>
    <w:multiLevelType w:val="hybridMultilevel"/>
    <w:tmpl w:val="8DB60F48"/>
    <w:lvl w:ilvl="0" w:tplc="C2FE06F6">
      <w:start w:val="4"/>
      <w:numFmt w:val="decimal"/>
      <w:lvlText w:val="%1."/>
      <w:lvlJc w:val="left"/>
      <w:pPr>
        <w:ind w:left="6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F7853EA">
      <w:start w:val="1"/>
      <w:numFmt w:val="lowerLetter"/>
      <w:lvlText w:val="%2"/>
      <w:lvlJc w:val="left"/>
      <w:pPr>
        <w:ind w:left="11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1A84B64">
      <w:start w:val="1"/>
      <w:numFmt w:val="lowerRoman"/>
      <w:lvlText w:val="%3"/>
      <w:lvlJc w:val="left"/>
      <w:pPr>
        <w:ind w:left="18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E3A2D4A">
      <w:start w:val="1"/>
      <w:numFmt w:val="decimal"/>
      <w:lvlText w:val="%4"/>
      <w:lvlJc w:val="left"/>
      <w:pPr>
        <w:ind w:left="25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3A2A698">
      <w:start w:val="1"/>
      <w:numFmt w:val="lowerLetter"/>
      <w:lvlText w:val="%5"/>
      <w:lvlJc w:val="left"/>
      <w:pPr>
        <w:ind w:left="32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FD2D1EE">
      <w:start w:val="1"/>
      <w:numFmt w:val="lowerRoman"/>
      <w:lvlText w:val="%6"/>
      <w:lvlJc w:val="left"/>
      <w:pPr>
        <w:ind w:left="39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3444056">
      <w:start w:val="1"/>
      <w:numFmt w:val="decimal"/>
      <w:lvlText w:val="%7"/>
      <w:lvlJc w:val="left"/>
      <w:pPr>
        <w:ind w:left="47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2D0E112">
      <w:start w:val="1"/>
      <w:numFmt w:val="lowerLetter"/>
      <w:lvlText w:val="%8"/>
      <w:lvlJc w:val="left"/>
      <w:pPr>
        <w:ind w:left="54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9625006">
      <w:start w:val="1"/>
      <w:numFmt w:val="lowerRoman"/>
      <w:lvlText w:val="%9"/>
      <w:lvlJc w:val="left"/>
      <w:pPr>
        <w:ind w:left="61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8FD273E"/>
    <w:multiLevelType w:val="hybridMultilevel"/>
    <w:tmpl w:val="77AECADE"/>
    <w:lvl w:ilvl="0" w:tplc="3EAEF188">
      <w:start w:val="1"/>
      <w:numFmt w:val="decimal"/>
      <w:lvlText w:val="%1."/>
      <w:lvlJc w:val="left"/>
      <w:pPr>
        <w:ind w:left="6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0881498">
      <w:start w:val="1"/>
      <w:numFmt w:val="lowerLetter"/>
      <w:lvlText w:val="%2"/>
      <w:lvlJc w:val="left"/>
      <w:pPr>
        <w:ind w:left="10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20E6612">
      <w:start w:val="1"/>
      <w:numFmt w:val="lowerRoman"/>
      <w:lvlText w:val="%3"/>
      <w:lvlJc w:val="left"/>
      <w:pPr>
        <w:ind w:left="18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75A1602">
      <w:start w:val="1"/>
      <w:numFmt w:val="decimal"/>
      <w:lvlText w:val="%4"/>
      <w:lvlJc w:val="left"/>
      <w:pPr>
        <w:ind w:left="25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2325F06">
      <w:start w:val="1"/>
      <w:numFmt w:val="lowerLetter"/>
      <w:lvlText w:val="%5"/>
      <w:lvlJc w:val="left"/>
      <w:pPr>
        <w:ind w:left="32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48CAF26">
      <w:start w:val="1"/>
      <w:numFmt w:val="lowerRoman"/>
      <w:lvlText w:val="%6"/>
      <w:lvlJc w:val="left"/>
      <w:pPr>
        <w:ind w:left="39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082D8D4">
      <w:start w:val="1"/>
      <w:numFmt w:val="decimal"/>
      <w:lvlText w:val="%7"/>
      <w:lvlJc w:val="left"/>
      <w:pPr>
        <w:ind w:left="46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80CFE2C">
      <w:start w:val="1"/>
      <w:numFmt w:val="lowerLetter"/>
      <w:lvlText w:val="%8"/>
      <w:lvlJc w:val="left"/>
      <w:pPr>
        <w:ind w:left="54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88464B8">
      <w:start w:val="1"/>
      <w:numFmt w:val="lowerRoman"/>
      <w:lvlText w:val="%9"/>
      <w:lvlJc w:val="left"/>
      <w:pPr>
        <w:ind w:left="61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F005E59"/>
    <w:multiLevelType w:val="hybridMultilevel"/>
    <w:tmpl w:val="AE50B8C0"/>
    <w:lvl w:ilvl="0" w:tplc="3B42C82A">
      <w:start w:val="1"/>
      <w:numFmt w:val="decimal"/>
      <w:lvlText w:val="%1."/>
      <w:lvlJc w:val="left"/>
      <w:pPr>
        <w:ind w:left="5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652CD82">
      <w:start w:val="1"/>
      <w:numFmt w:val="lowerLetter"/>
      <w:lvlText w:val="%2"/>
      <w:lvlJc w:val="left"/>
      <w:pPr>
        <w:ind w:left="10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CB4BF18">
      <w:start w:val="1"/>
      <w:numFmt w:val="lowerRoman"/>
      <w:lvlText w:val="%3"/>
      <w:lvlJc w:val="left"/>
      <w:pPr>
        <w:ind w:left="18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270A5FC">
      <w:start w:val="1"/>
      <w:numFmt w:val="decimal"/>
      <w:lvlText w:val="%4"/>
      <w:lvlJc w:val="left"/>
      <w:pPr>
        <w:ind w:left="25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318A12A">
      <w:start w:val="1"/>
      <w:numFmt w:val="lowerLetter"/>
      <w:lvlText w:val="%5"/>
      <w:lvlJc w:val="left"/>
      <w:pPr>
        <w:ind w:left="32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5C45EA8">
      <w:start w:val="1"/>
      <w:numFmt w:val="lowerRoman"/>
      <w:lvlText w:val="%6"/>
      <w:lvlJc w:val="left"/>
      <w:pPr>
        <w:ind w:left="39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F52644C">
      <w:start w:val="1"/>
      <w:numFmt w:val="decimal"/>
      <w:lvlText w:val="%7"/>
      <w:lvlJc w:val="left"/>
      <w:pPr>
        <w:ind w:left="46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36A1DCC">
      <w:start w:val="1"/>
      <w:numFmt w:val="lowerLetter"/>
      <w:lvlText w:val="%8"/>
      <w:lvlJc w:val="left"/>
      <w:pPr>
        <w:ind w:left="54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04EDCD0">
      <w:start w:val="1"/>
      <w:numFmt w:val="lowerRoman"/>
      <w:lvlText w:val="%9"/>
      <w:lvlJc w:val="left"/>
      <w:pPr>
        <w:ind w:left="61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0AE40B7"/>
    <w:multiLevelType w:val="hybridMultilevel"/>
    <w:tmpl w:val="D3949466"/>
    <w:lvl w:ilvl="0" w:tplc="9C888AE8">
      <w:start w:val="1"/>
      <w:numFmt w:val="decimal"/>
      <w:lvlText w:val="%1."/>
      <w:lvlJc w:val="left"/>
      <w:pPr>
        <w:ind w:left="3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8BC529A">
      <w:start w:val="1"/>
      <w:numFmt w:val="lowerLetter"/>
      <w:lvlText w:val="%2"/>
      <w:lvlJc w:val="left"/>
      <w:pPr>
        <w:ind w:left="10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84E4550">
      <w:start w:val="1"/>
      <w:numFmt w:val="lowerRoman"/>
      <w:lvlText w:val="%3"/>
      <w:lvlJc w:val="left"/>
      <w:pPr>
        <w:ind w:left="18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64C811E">
      <w:start w:val="1"/>
      <w:numFmt w:val="decimal"/>
      <w:lvlText w:val="%4"/>
      <w:lvlJc w:val="left"/>
      <w:pPr>
        <w:ind w:left="25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360E46A">
      <w:start w:val="1"/>
      <w:numFmt w:val="lowerLetter"/>
      <w:lvlText w:val="%5"/>
      <w:lvlJc w:val="left"/>
      <w:pPr>
        <w:ind w:left="32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EAB5F4">
      <w:start w:val="1"/>
      <w:numFmt w:val="lowerRoman"/>
      <w:lvlText w:val="%6"/>
      <w:lvlJc w:val="left"/>
      <w:pPr>
        <w:ind w:left="39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A0E0E6C">
      <w:start w:val="1"/>
      <w:numFmt w:val="decimal"/>
      <w:lvlText w:val="%7"/>
      <w:lvlJc w:val="left"/>
      <w:pPr>
        <w:ind w:left="46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C9A10F4">
      <w:start w:val="1"/>
      <w:numFmt w:val="lowerLetter"/>
      <w:lvlText w:val="%8"/>
      <w:lvlJc w:val="left"/>
      <w:pPr>
        <w:ind w:left="54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DCC7E3E">
      <w:start w:val="1"/>
      <w:numFmt w:val="lowerRoman"/>
      <w:lvlText w:val="%9"/>
      <w:lvlJc w:val="left"/>
      <w:pPr>
        <w:ind w:left="61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1A84504"/>
    <w:multiLevelType w:val="hybridMultilevel"/>
    <w:tmpl w:val="C728DB66"/>
    <w:lvl w:ilvl="0" w:tplc="502C27DE">
      <w:start w:val="1"/>
      <w:numFmt w:val="decimal"/>
      <w:lvlText w:val="%1."/>
      <w:lvlJc w:val="left"/>
      <w:pPr>
        <w:ind w:left="3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294C656">
      <w:start w:val="1"/>
      <w:numFmt w:val="lowerLetter"/>
      <w:lvlText w:val="%2)"/>
      <w:lvlJc w:val="left"/>
      <w:pPr>
        <w:ind w:left="7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4ACE39E">
      <w:start w:val="1"/>
      <w:numFmt w:val="lowerRoman"/>
      <w:lvlText w:val="%3"/>
      <w:lvlJc w:val="left"/>
      <w:pPr>
        <w:ind w:left="1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F78BD3E">
      <w:start w:val="1"/>
      <w:numFmt w:val="decimal"/>
      <w:lvlText w:val="%4"/>
      <w:lvlJc w:val="left"/>
      <w:pPr>
        <w:ind w:left="21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E18F600">
      <w:start w:val="1"/>
      <w:numFmt w:val="lowerLetter"/>
      <w:lvlText w:val="%5"/>
      <w:lvlJc w:val="left"/>
      <w:pPr>
        <w:ind w:left="28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E2820EA">
      <w:start w:val="1"/>
      <w:numFmt w:val="lowerRoman"/>
      <w:lvlText w:val="%6"/>
      <w:lvlJc w:val="left"/>
      <w:pPr>
        <w:ind w:left="35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962E43A">
      <w:start w:val="1"/>
      <w:numFmt w:val="decimal"/>
      <w:lvlText w:val="%7"/>
      <w:lvlJc w:val="left"/>
      <w:pPr>
        <w:ind w:left="43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B3C281A">
      <w:start w:val="1"/>
      <w:numFmt w:val="lowerLetter"/>
      <w:lvlText w:val="%8"/>
      <w:lvlJc w:val="left"/>
      <w:pPr>
        <w:ind w:left="50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52012AA">
      <w:start w:val="1"/>
      <w:numFmt w:val="lowerRoman"/>
      <w:lvlText w:val="%9"/>
      <w:lvlJc w:val="left"/>
      <w:pPr>
        <w:ind w:left="57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1E96AFB"/>
    <w:multiLevelType w:val="hybridMultilevel"/>
    <w:tmpl w:val="E112EB34"/>
    <w:lvl w:ilvl="0" w:tplc="EED6151A">
      <w:start w:val="1"/>
      <w:numFmt w:val="decimal"/>
      <w:lvlText w:val="%1."/>
      <w:lvlJc w:val="left"/>
      <w:pPr>
        <w:ind w:left="3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D3E459A">
      <w:start w:val="1"/>
      <w:numFmt w:val="lowerLetter"/>
      <w:lvlText w:val="%2"/>
      <w:lvlJc w:val="left"/>
      <w:pPr>
        <w:ind w:left="10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AA8718C">
      <w:start w:val="1"/>
      <w:numFmt w:val="lowerRoman"/>
      <w:lvlText w:val="%3"/>
      <w:lvlJc w:val="left"/>
      <w:pPr>
        <w:ind w:left="18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DF8D220">
      <w:start w:val="1"/>
      <w:numFmt w:val="decimal"/>
      <w:lvlText w:val="%4"/>
      <w:lvlJc w:val="left"/>
      <w:pPr>
        <w:ind w:left="25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E7C0F88">
      <w:start w:val="1"/>
      <w:numFmt w:val="lowerLetter"/>
      <w:lvlText w:val="%5"/>
      <w:lvlJc w:val="left"/>
      <w:pPr>
        <w:ind w:left="32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8FAFC0A">
      <w:start w:val="1"/>
      <w:numFmt w:val="lowerRoman"/>
      <w:lvlText w:val="%6"/>
      <w:lvlJc w:val="left"/>
      <w:pPr>
        <w:ind w:left="39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BD22F78">
      <w:start w:val="1"/>
      <w:numFmt w:val="decimal"/>
      <w:lvlText w:val="%7"/>
      <w:lvlJc w:val="left"/>
      <w:pPr>
        <w:ind w:left="46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A865C0C">
      <w:start w:val="1"/>
      <w:numFmt w:val="lowerLetter"/>
      <w:lvlText w:val="%8"/>
      <w:lvlJc w:val="left"/>
      <w:pPr>
        <w:ind w:left="54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E3612A6">
      <w:start w:val="1"/>
      <w:numFmt w:val="lowerRoman"/>
      <w:lvlText w:val="%9"/>
      <w:lvlJc w:val="left"/>
      <w:pPr>
        <w:ind w:left="61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3C1D5881"/>
    <w:multiLevelType w:val="hybridMultilevel"/>
    <w:tmpl w:val="1FB4A790"/>
    <w:lvl w:ilvl="0" w:tplc="E604B548">
      <w:start w:val="1"/>
      <w:numFmt w:val="decimal"/>
      <w:lvlText w:val="%1."/>
      <w:lvlJc w:val="left"/>
      <w:pPr>
        <w:ind w:left="3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0AE2402">
      <w:start w:val="1"/>
      <w:numFmt w:val="lowerLetter"/>
      <w:lvlText w:val="%2)"/>
      <w:lvlJc w:val="left"/>
      <w:pPr>
        <w:ind w:left="7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2706FCA">
      <w:start w:val="1"/>
      <w:numFmt w:val="lowerRoman"/>
      <w:lvlText w:val="%3"/>
      <w:lvlJc w:val="left"/>
      <w:pPr>
        <w:ind w:left="14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C503DFE">
      <w:start w:val="1"/>
      <w:numFmt w:val="decimal"/>
      <w:lvlText w:val="%4"/>
      <w:lvlJc w:val="left"/>
      <w:pPr>
        <w:ind w:left="21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B86D794">
      <w:start w:val="1"/>
      <w:numFmt w:val="lowerLetter"/>
      <w:lvlText w:val="%5"/>
      <w:lvlJc w:val="left"/>
      <w:pPr>
        <w:ind w:left="28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1D819C4">
      <w:start w:val="1"/>
      <w:numFmt w:val="lowerRoman"/>
      <w:lvlText w:val="%6"/>
      <w:lvlJc w:val="left"/>
      <w:pPr>
        <w:ind w:left="36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302C6A">
      <w:start w:val="1"/>
      <w:numFmt w:val="decimal"/>
      <w:lvlText w:val="%7"/>
      <w:lvlJc w:val="left"/>
      <w:pPr>
        <w:ind w:left="43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938583C">
      <w:start w:val="1"/>
      <w:numFmt w:val="lowerLetter"/>
      <w:lvlText w:val="%8"/>
      <w:lvlJc w:val="left"/>
      <w:pPr>
        <w:ind w:left="50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75AB634">
      <w:start w:val="1"/>
      <w:numFmt w:val="lowerRoman"/>
      <w:lvlText w:val="%9"/>
      <w:lvlJc w:val="left"/>
      <w:pPr>
        <w:ind w:left="57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4830AD4"/>
    <w:multiLevelType w:val="hybridMultilevel"/>
    <w:tmpl w:val="1B142C92"/>
    <w:lvl w:ilvl="0" w:tplc="4008EC98">
      <w:start w:val="1"/>
      <w:numFmt w:val="decimal"/>
      <w:lvlText w:val="%1."/>
      <w:lvlJc w:val="left"/>
      <w:pPr>
        <w:ind w:left="4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4984070">
      <w:start w:val="1"/>
      <w:numFmt w:val="lowerLetter"/>
      <w:lvlText w:val="%2)"/>
      <w:lvlJc w:val="left"/>
      <w:pPr>
        <w:ind w:left="87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7F80190">
      <w:start w:val="1"/>
      <w:numFmt w:val="lowerRoman"/>
      <w:lvlText w:val="%3"/>
      <w:lvlJc w:val="left"/>
      <w:pPr>
        <w:ind w:left="14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6448B762">
      <w:start w:val="1"/>
      <w:numFmt w:val="decimal"/>
      <w:lvlText w:val="%4"/>
      <w:lvlJc w:val="left"/>
      <w:pPr>
        <w:ind w:left="21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AF98FFE4">
      <w:start w:val="1"/>
      <w:numFmt w:val="lowerLetter"/>
      <w:lvlText w:val="%5"/>
      <w:lvlJc w:val="left"/>
      <w:pPr>
        <w:ind w:left="28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8BA837C">
      <w:start w:val="1"/>
      <w:numFmt w:val="lowerRoman"/>
      <w:lvlText w:val="%6"/>
      <w:lvlJc w:val="left"/>
      <w:pPr>
        <w:ind w:left="36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8FDA1B90">
      <w:start w:val="1"/>
      <w:numFmt w:val="decimal"/>
      <w:lvlText w:val="%7"/>
      <w:lvlJc w:val="left"/>
      <w:pPr>
        <w:ind w:left="43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4880DC2">
      <w:start w:val="1"/>
      <w:numFmt w:val="lowerLetter"/>
      <w:lvlText w:val="%8"/>
      <w:lvlJc w:val="left"/>
      <w:pPr>
        <w:ind w:left="50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9886C42">
      <w:start w:val="1"/>
      <w:numFmt w:val="lowerRoman"/>
      <w:lvlText w:val="%9"/>
      <w:lvlJc w:val="left"/>
      <w:pPr>
        <w:ind w:left="57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4D8E0C1E"/>
    <w:multiLevelType w:val="hybridMultilevel"/>
    <w:tmpl w:val="FC0C21E2"/>
    <w:lvl w:ilvl="0" w:tplc="276476EC">
      <w:start w:val="1"/>
      <w:numFmt w:val="decimal"/>
      <w:lvlText w:val="%1."/>
      <w:lvlJc w:val="left"/>
      <w:pPr>
        <w:ind w:left="4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20A1F98">
      <w:start w:val="1"/>
      <w:numFmt w:val="lowerLetter"/>
      <w:lvlText w:val="%2)"/>
      <w:lvlJc w:val="left"/>
      <w:pPr>
        <w:ind w:left="8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9286B5D4">
      <w:start w:val="1"/>
      <w:numFmt w:val="bullet"/>
      <w:lvlText w:val="•"/>
      <w:lvlJc w:val="left"/>
      <w:pPr>
        <w:ind w:left="121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095EC5E4">
      <w:start w:val="1"/>
      <w:numFmt w:val="bullet"/>
      <w:lvlText w:val="•"/>
      <w:lvlJc w:val="left"/>
      <w:pPr>
        <w:ind w:left="179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417A63AE">
      <w:start w:val="1"/>
      <w:numFmt w:val="bullet"/>
      <w:lvlText w:val="o"/>
      <w:lvlJc w:val="left"/>
      <w:pPr>
        <w:ind w:left="251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85964A62">
      <w:start w:val="1"/>
      <w:numFmt w:val="bullet"/>
      <w:lvlText w:val="▪"/>
      <w:lvlJc w:val="left"/>
      <w:pPr>
        <w:ind w:left="323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E0A0F628">
      <w:start w:val="1"/>
      <w:numFmt w:val="bullet"/>
      <w:lvlText w:val="•"/>
      <w:lvlJc w:val="left"/>
      <w:pPr>
        <w:ind w:left="395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23FE1CA4">
      <w:start w:val="1"/>
      <w:numFmt w:val="bullet"/>
      <w:lvlText w:val="o"/>
      <w:lvlJc w:val="left"/>
      <w:pPr>
        <w:ind w:left="467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4588EC42">
      <w:start w:val="1"/>
      <w:numFmt w:val="bullet"/>
      <w:lvlText w:val="▪"/>
      <w:lvlJc w:val="left"/>
      <w:pPr>
        <w:ind w:left="539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594C095A"/>
    <w:multiLevelType w:val="hybridMultilevel"/>
    <w:tmpl w:val="02C45B7E"/>
    <w:lvl w:ilvl="0" w:tplc="685AE160">
      <w:start w:val="1"/>
      <w:numFmt w:val="decimal"/>
      <w:lvlText w:val="%1."/>
      <w:lvlJc w:val="left"/>
      <w:pPr>
        <w:ind w:left="4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ED81F8C">
      <w:start w:val="1"/>
      <w:numFmt w:val="lowerLetter"/>
      <w:lvlText w:val="%2"/>
      <w:lvlJc w:val="left"/>
      <w:pPr>
        <w:ind w:left="11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90E156A">
      <w:start w:val="1"/>
      <w:numFmt w:val="lowerRoman"/>
      <w:lvlText w:val="%3"/>
      <w:lvlJc w:val="left"/>
      <w:pPr>
        <w:ind w:left="18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E445CA8">
      <w:start w:val="1"/>
      <w:numFmt w:val="decimal"/>
      <w:lvlText w:val="%4"/>
      <w:lvlJc w:val="left"/>
      <w:pPr>
        <w:ind w:left="25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E12ABA4">
      <w:start w:val="1"/>
      <w:numFmt w:val="lowerLetter"/>
      <w:lvlText w:val="%5"/>
      <w:lvlJc w:val="left"/>
      <w:pPr>
        <w:ind w:left="32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7165DEA">
      <w:start w:val="1"/>
      <w:numFmt w:val="lowerRoman"/>
      <w:lvlText w:val="%6"/>
      <w:lvlJc w:val="left"/>
      <w:pPr>
        <w:ind w:left="39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DF0D1BE">
      <w:start w:val="1"/>
      <w:numFmt w:val="decimal"/>
      <w:lvlText w:val="%7"/>
      <w:lvlJc w:val="left"/>
      <w:pPr>
        <w:ind w:left="47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7646C2C">
      <w:start w:val="1"/>
      <w:numFmt w:val="lowerLetter"/>
      <w:lvlText w:val="%8"/>
      <w:lvlJc w:val="left"/>
      <w:pPr>
        <w:ind w:left="54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5469CCA">
      <w:start w:val="1"/>
      <w:numFmt w:val="lowerRoman"/>
      <w:lvlText w:val="%9"/>
      <w:lvlJc w:val="left"/>
      <w:pPr>
        <w:ind w:left="61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E314CE0"/>
    <w:multiLevelType w:val="hybridMultilevel"/>
    <w:tmpl w:val="E4A2BE12"/>
    <w:lvl w:ilvl="0" w:tplc="71C636E2">
      <w:start w:val="1"/>
      <w:numFmt w:val="decimal"/>
      <w:lvlText w:val="%1."/>
      <w:lvlJc w:val="left"/>
      <w:pPr>
        <w:ind w:left="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86604D8">
      <w:start w:val="1"/>
      <w:numFmt w:val="lowerLetter"/>
      <w:lvlText w:val="%2"/>
      <w:lvlJc w:val="left"/>
      <w:pPr>
        <w:ind w:left="10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4DE99A4">
      <w:start w:val="1"/>
      <w:numFmt w:val="lowerRoman"/>
      <w:lvlText w:val="%3"/>
      <w:lvlJc w:val="left"/>
      <w:pPr>
        <w:ind w:left="18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34E7BE4">
      <w:start w:val="1"/>
      <w:numFmt w:val="decimal"/>
      <w:lvlText w:val="%4"/>
      <w:lvlJc w:val="left"/>
      <w:pPr>
        <w:ind w:left="25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72E12D0">
      <w:start w:val="1"/>
      <w:numFmt w:val="lowerLetter"/>
      <w:lvlText w:val="%5"/>
      <w:lvlJc w:val="left"/>
      <w:pPr>
        <w:ind w:left="32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1007956">
      <w:start w:val="1"/>
      <w:numFmt w:val="lowerRoman"/>
      <w:lvlText w:val="%6"/>
      <w:lvlJc w:val="left"/>
      <w:pPr>
        <w:ind w:left="39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E0AC21E">
      <w:start w:val="1"/>
      <w:numFmt w:val="decimal"/>
      <w:lvlText w:val="%7"/>
      <w:lvlJc w:val="left"/>
      <w:pPr>
        <w:ind w:left="46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35847C4">
      <w:start w:val="1"/>
      <w:numFmt w:val="lowerLetter"/>
      <w:lvlText w:val="%8"/>
      <w:lvlJc w:val="left"/>
      <w:pPr>
        <w:ind w:left="54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3C0E542">
      <w:start w:val="1"/>
      <w:numFmt w:val="lowerRoman"/>
      <w:lvlText w:val="%9"/>
      <w:lvlJc w:val="left"/>
      <w:pPr>
        <w:ind w:left="61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F020A0A"/>
    <w:multiLevelType w:val="hybridMultilevel"/>
    <w:tmpl w:val="C3226D66"/>
    <w:lvl w:ilvl="0" w:tplc="834A4E62">
      <w:start w:val="1"/>
      <w:numFmt w:val="decimal"/>
      <w:lvlText w:val="%1."/>
      <w:lvlJc w:val="left"/>
      <w:pPr>
        <w:ind w:left="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3ABD0C">
      <w:start w:val="1"/>
      <w:numFmt w:val="lowerLetter"/>
      <w:lvlText w:val="%2"/>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32B18A">
      <w:start w:val="1"/>
      <w:numFmt w:val="lowerRoman"/>
      <w:lvlText w:val="%3"/>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060794">
      <w:start w:val="1"/>
      <w:numFmt w:val="decimal"/>
      <w:lvlText w:val="%4"/>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10761E">
      <w:start w:val="1"/>
      <w:numFmt w:val="lowerLetter"/>
      <w:lvlText w:val="%5"/>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649F6">
      <w:start w:val="1"/>
      <w:numFmt w:val="lowerRoman"/>
      <w:lvlText w:val="%6"/>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A48BE0">
      <w:start w:val="1"/>
      <w:numFmt w:val="decimal"/>
      <w:lvlText w:val="%7"/>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6616AC">
      <w:start w:val="1"/>
      <w:numFmt w:val="lowerLetter"/>
      <w:lvlText w:val="%8"/>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B877E6">
      <w:start w:val="1"/>
      <w:numFmt w:val="lowerRoman"/>
      <w:lvlText w:val="%9"/>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89733DB"/>
    <w:multiLevelType w:val="hybridMultilevel"/>
    <w:tmpl w:val="1C9AB858"/>
    <w:lvl w:ilvl="0" w:tplc="82C2EDB2">
      <w:start w:val="1"/>
      <w:numFmt w:val="decimal"/>
      <w:lvlText w:val="%1."/>
      <w:lvlJc w:val="left"/>
      <w:pPr>
        <w:ind w:left="4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F045DE4">
      <w:start w:val="1"/>
      <w:numFmt w:val="lowerLetter"/>
      <w:lvlText w:val="%2"/>
      <w:lvlJc w:val="left"/>
      <w:pPr>
        <w:ind w:left="10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844B4DA">
      <w:start w:val="1"/>
      <w:numFmt w:val="lowerRoman"/>
      <w:lvlText w:val="%3"/>
      <w:lvlJc w:val="left"/>
      <w:pPr>
        <w:ind w:left="18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5E63CFA">
      <w:start w:val="1"/>
      <w:numFmt w:val="decimal"/>
      <w:lvlText w:val="%4"/>
      <w:lvlJc w:val="left"/>
      <w:pPr>
        <w:ind w:left="25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8A4E7DA">
      <w:start w:val="1"/>
      <w:numFmt w:val="lowerLetter"/>
      <w:lvlText w:val="%5"/>
      <w:lvlJc w:val="left"/>
      <w:pPr>
        <w:ind w:left="32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AE02512">
      <w:start w:val="1"/>
      <w:numFmt w:val="lowerRoman"/>
      <w:lvlText w:val="%6"/>
      <w:lvlJc w:val="left"/>
      <w:pPr>
        <w:ind w:left="39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3CCCD32">
      <w:start w:val="1"/>
      <w:numFmt w:val="decimal"/>
      <w:lvlText w:val="%7"/>
      <w:lvlJc w:val="left"/>
      <w:pPr>
        <w:ind w:left="46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6CE8F82">
      <w:start w:val="1"/>
      <w:numFmt w:val="lowerLetter"/>
      <w:lvlText w:val="%8"/>
      <w:lvlJc w:val="left"/>
      <w:pPr>
        <w:ind w:left="54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4D47898">
      <w:start w:val="1"/>
      <w:numFmt w:val="lowerRoman"/>
      <w:lvlText w:val="%9"/>
      <w:lvlJc w:val="left"/>
      <w:pPr>
        <w:ind w:left="61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12"/>
  </w:num>
  <w:num w:numId="2">
    <w:abstractNumId w:val="11"/>
  </w:num>
  <w:num w:numId="3">
    <w:abstractNumId w:val="0"/>
  </w:num>
  <w:num w:numId="4">
    <w:abstractNumId w:val="1"/>
  </w:num>
  <w:num w:numId="5">
    <w:abstractNumId w:val="5"/>
  </w:num>
  <w:num w:numId="6">
    <w:abstractNumId w:val="9"/>
  </w:num>
  <w:num w:numId="7">
    <w:abstractNumId w:val="4"/>
  </w:num>
  <w:num w:numId="8">
    <w:abstractNumId w:val="7"/>
  </w:num>
  <w:num w:numId="9">
    <w:abstractNumId w:val="6"/>
  </w:num>
  <w:num w:numId="10">
    <w:abstractNumId w:val="2"/>
  </w:num>
  <w:num w:numId="11">
    <w:abstractNumId w:val="10"/>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7CA"/>
    <w:rsid w:val="00B12F09"/>
    <w:rsid w:val="00CD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9A85B5-4B2D-4ABD-9A71-7A7283AE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9" w:line="225" w:lineRule="auto"/>
      <w:ind w:left="687" w:right="317" w:hanging="356"/>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58"/>
      <w:ind w:left="252"/>
      <w:jc w:val="center"/>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0"/>
      <w:ind w:left="43"/>
      <w:jc w:val="right"/>
      <w:outlineLvl w:val="1"/>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rPr>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12.jpg"/><Relationship Id="rId34" Type="http://schemas.openxmlformats.org/officeDocument/2006/relationships/image" Target="media/image19.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1.jpg"/><Relationship Id="rId29" Type="http://schemas.openxmlformats.org/officeDocument/2006/relationships/image" Target="media/image1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5.jpg"/><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4.jpg"/><Relationship Id="rId28" Type="http://schemas.openxmlformats.org/officeDocument/2006/relationships/image" Target="media/image16.jpg"/><Relationship Id="rId36"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footer" Target="footer3.xm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3.jpg"/><Relationship Id="rId27" Type="http://schemas.openxmlformats.org/officeDocument/2006/relationships/footer" Target="footer6.xml"/><Relationship Id="rId30" Type="http://schemas.openxmlformats.org/officeDocument/2006/relationships/image" Target="media/image18.jpg"/><Relationship Id="rId35"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3603</Words>
  <Characters>20541</Characters>
  <Application>Microsoft Office Word</Application>
  <DocSecurity>0</DocSecurity>
  <Lines>171</Lines>
  <Paragraphs>48</Paragraphs>
  <ScaleCrop>false</ScaleCrop>
  <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freelancer</dc:creator>
  <cp:keywords/>
  <cp:lastModifiedBy>freelancer</cp:lastModifiedBy>
  <cp:revision>2</cp:revision>
  <dcterms:created xsi:type="dcterms:W3CDTF">2019-10-24T07:02:00Z</dcterms:created>
  <dcterms:modified xsi:type="dcterms:W3CDTF">2019-10-24T07:02:00Z</dcterms:modified>
</cp:coreProperties>
</file>