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AA79A8">
        <w:t>OLA-VZ-129/2016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 xml:space="preserve">Ing. </w:t>
      </w:r>
      <w:r w:rsidR="00AA79A8">
        <w:t>Bořivoj Novotný</w:t>
      </w:r>
      <w:r w:rsidRPr="00A3020E">
        <w:rPr>
          <w:rFonts w:cs="Arial"/>
          <w:szCs w:val="20"/>
        </w:rPr>
        <w:t xml:space="preserve">, </w:t>
      </w:r>
      <w:r w:rsidR="00AA79A8" w:rsidRPr="00AA79A8">
        <w:rPr>
          <w:rFonts w:cs="Arial"/>
          <w:szCs w:val="20"/>
        </w:rPr>
        <w:t>ředitel Odboru</w:t>
      </w:r>
      <w:r w:rsidR="00AA79A8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>Dobrovského 1278</w:t>
      </w:r>
      <w:r w:rsidR="00AA79A8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AA79A8" w:rsidRPr="00AA79A8">
        <w:rPr>
          <w:rFonts w:cs="Arial"/>
          <w:szCs w:val="20"/>
        </w:rPr>
        <w:t>Vejdovského</w:t>
      </w:r>
      <w:proofErr w:type="spellEnd"/>
      <w:r w:rsidR="00AA79A8" w:rsidRPr="00AA79A8">
        <w:rPr>
          <w:rFonts w:cs="Arial"/>
          <w:szCs w:val="20"/>
        </w:rPr>
        <w:t xml:space="preserve"> </w:t>
      </w:r>
      <w:proofErr w:type="gramStart"/>
      <w:r w:rsidR="00AA79A8" w:rsidRPr="00AA79A8">
        <w:rPr>
          <w:rFonts w:cs="Arial"/>
          <w:szCs w:val="20"/>
        </w:rPr>
        <w:t>č</w:t>
      </w:r>
      <w:r w:rsidR="00AA79A8">
        <w:t>.p.</w:t>
      </w:r>
      <w:proofErr w:type="gramEnd"/>
      <w:r w:rsidR="00AA79A8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A79A8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>Mateřská škola</w:t>
      </w:r>
      <w:r w:rsidR="00AA79A8">
        <w:t xml:space="preserve"> Nádražní 7, Šternberk, příspěvková organizace</w:t>
      </w:r>
      <w:r w:rsidR="00AA79A8" w:rsidRPr="00AA79A8">
        <w:rPr>
          <w:rFonts w:cs="Arial"/>
          <w:vanish/>
          <w:szCs w:val="20"/>
        </w:rPr>
        <w:t>0</w:t>
      </w:r>
    </w:p>
    <w:p w:rsidR="00B72145" w:rsidRPr="00A3020E" w:rsidRDefault="00AA79A8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A79A8">
        <w:rPr>
          <w:rFonts w:cs="Arial"/>
          <w:noProof/>
          <w:szCs w:val="20"/>
        </w:rPr>
        <w:t xml:space="preserve">Mgr. </w:t>
      </w:r>
      <w:r>
        <w:rPr>
          <w:noProof/>
        </w:rPr>
        <w:t>Iva Kráčmarová, ředitelka školy</w:t>
      </w:r>
    </w:p>
    <w:p w:rsidR="00B72145" w:rsidRPr="00A3020E" w:rsidRDefault="00AA79A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AA79A8">
        <w:rPr>
          <w:rFonts w:cs="Arial"/>
          <w:szCs w:val="20"/>
        </w:rPr>
        <w:t>Nádražní 1302</w:t>
      </w:r>
      <w:r>
        <w:t>/7, 78501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>61989924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AA79A8">
        <w:t>CZ.03.1.48/0.0/0.0/15_121/0000059</w:t>
      </w:r>
      <w:r w:rsidR="00F9115D">
        <w:rPr>
          <w:i/>
          <w:iCs/>
        </w:rPr>
        <w:t xml:space="preserve"> </w:t>
      </w:r>
      <w:r w:rsidR="00AA79A8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Pr="00AA79A8" w:rsidRDefault="007A0E22" w:rsidP="005122FF">
      <w:pPr>
        <w:pStyle w:val="Boddohody"/>
        <w:rPr>
          <w:b/>
        </w:rPr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AA79A8">
        <w:rPr>
          <w:b/>
        </w:rPr>
        <w:t>od </w:t>
      </w:r>
      <w:r w:rsidR="00AA79A8" w:rsidRPr="00AA79A8">
        <w:rPr>
          <w:b/>
          <w:noProof/>
        </w:rPr>
        <w:t>1.1.2017</w:t>
      </w:r>
      <w:r w:rsidR="000C441B" w:rsidRPr="00AA79A8">
        <w:rPr>
          <w:b/>
        </w:rPr>
        <w:t xml:space="preserve"> do </w:t>
      </w:r>
      <w:r w:rsidR="00AA79A8" w:rsidRPr="00AA79A8">
        <w:rPr>
          <w:b/>
          <w:noProof/>
        </w:rPr>
        <w:t>31.12.2017</w:t>
      </w:r>
      <w:r w:rsidR="00807129" w:rsidRPr="00AA79A8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AA79A8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A8" w:rsidRPr="008F1A38" w:rsidRDefault="00AA79A8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areálu školy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A8" w:rsidRPr="0028078F" w:rsidRDefault="00AA79A8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A79A8" w:rsidRPr="0028078F" w:rsidRDefault="00AA79A8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AA79A8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A79A8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AA79A8">
        <w:rPr>
          <w:noProof/>
        </w:rPr>
        <w:t>31.12.2017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AA79A8">
        <w:rPr>
          <w:noProof/>
        </w:rPr>
        <w:t>31.12.2017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AA79A8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9A8" w:rsidRPr="008F1A38" w:rsidRDefault="00AA79A8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 areálu školy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A79A8" w:rsidRPr="008F1A38" w:rsidRDefault="00AA79A8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79A8" w:rsidRPr="00FC2D26" w:rsidRDefault="00AA79A8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AA79A8" w:rsidRPr="00FC2D26" w:rsidRDefault="00AA79A8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AA79A8">
        <w:t>168 000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1471B2">
        <w:rPr>
          <w:b/>
        </w:rPr>
        <w:t>xxxxxxxxxxxxxxxxx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AA79A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30.12.2016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AA79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AA79A8" w:rsidRDefault="00AA79A8" w:rsidP="00AA79A8">
      <w:pPr>
        <w:keepNext/>
        <w:keepLines/>
        <w:rPr>
          <w:rFonts w:cs="Arial"/>
          <w:szCs w:val="20"/>
        </w:rPr>
      </w:pPr>
    </w:p>
    <w:p w:rsidR="0007059F" w:rsidRPr="008F1A38" w:rsidRDefault="00AA79A8" w:rsidP="00AA79A8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AA79A8" w:rsidRDefault="00AA79A8" w:rsidP="009B751F">
      <w:pPr>
        <w:keepNext/>
        <w:keepLines/>
        <w:jc w:val="center"/>
      </w:pPr>
      <w:r w:rsidRPr="00AA79A8">
        <w:rPr>
          <w:rFonts w:cs="Arial"/>
          <w:szCs w:val="20"/>
        </w:rPr>
        <w:t xml:space="preserve">Mgr. </w:t>
      </w:r>
      <w:r>
        <w:t>Iva Kráčmarová</w:t>
      </w:r>
      <w:r>
        <w:tab/>
      </w:r>
      <w:r>
        <w:br/>
        <w:t>ředitelka</w:t>
      </w:r>
    </w:p>
    <w:p w:rsidR="006C6899" w:rsidRPr="008F1A38" w:rsidRDefault="00AA79A8" w:rsidP="009B751F">
      <w:pPr>
        <w:keepNext/>
        <w:keepLines/>
        <w:jc w:val="center"/>
        <w:rPr>
          <w:rFonts w:cs="Arial"/>
          <w:szCs w:val="20"/>
        </w:rPr>
      </w:pPr>
      <w:r w:rsidRPr="00AA79A8">
        <w:rPr>
          <w:rFonts w:cs="Arial"/>
          <w:szCs w:val="20"/>
        </w:rPr>
        <w:t>Mateřská škola</w:t>
      </w:r>
      <w:r>
        <w:t xml:space="preserve"> Nádražní 7, Šternberk, příspěvková organizace </w:t>
      </w:r>
    </w:p>
    <w:p w:rsidR="00AA79A8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AA79A8" w:rsidP="009B751F">
      <w:pPr>
        <w:keepNext/>
        <w:keepLines/>
        <w:jc w:val="center"/>
        <w:rPr>
          <w:rFonts w:cs="Arial"/>
          <w:szCs w:val="20"/>
        </w:rPr>
      </w:pPr>
      <w:r w:rsidRPr="00AA79A8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AA79A8" w:rsidP="00032257">
      <w:pPr>
        <w:keepNext/>
        <w:keepLines/>
        <w:jc w:val="center"/>
        <w:rPr>
          <w:rFonts w:cs="Arial"/>
          <w:szCs w:val="20"/>
        </w:rPr>
      </w:pPr>
      <w:r w:rsidRPr="00AA79A8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AA79A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A79A8" w:rsidRPr="00AA79A8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1471B2">
        <w:rPr>
          <w:rFonts w:cs="Arial"/>
          <w:szCs w:val="20"/>
        </w:rPr>
        <w:t>xxxxx</w:t>
      </w:r>
      <w:proofErr w:type="spellEnd"/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AA79A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31" w:rsidRDefault="00084131">
      <w:r>
        <w:separator/>
      </w:r>
    </w:p>
  </w:endnote>
  <w:endnote w:type="continuationSeparator" w:id="0">
    <w:p w:rsidR="00084131" w:rsidRDefault="0008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A8" w:rsidRDefault="00AA79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1471B2">
      <w:rPr>
        <w:noProof/>
      </w:rPr>
      <w:t>5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71B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31" w:rsidRDefault="00084131">
      <w:r>
        <w:separator/>
      </w:r>
    </w:p>
  </w:footnote>
  <w:footnote w:type="continuationSeparator" w:id="0">
    <w:p w:rsidR="00084131" w:rsidRDefault="0008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A8" w:rsidRDefault="00AA79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A8" w:rsidRDefault="00AA79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84131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EE9"/>
    <w:rsid w:val="00112148"/>
    <w:rsid w:val="00114D54"/>
    <w:rsid w:val="00121AA8"/>
    <w:rsid w:val="00122793"/>
    <w:rsid w:val="00125D6E"/>
    <w:rsid w:val="0013298C"/>
    <w:rsid w:val="00134B72"/>
    <w:rsid w:val="00140867"/>
    <w:rsid w:val="00144130"/>
    <w:rsid w:val="001471B2"/>
    <w:rsid w:val="0015096C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2278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069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602259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269C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67F5"/>
    <w:rsid w:val="00A76E7B"/>
    <w:rsid w:val="00A80D21"/>
    <w:rsid w:val="00A81ED7"/>
    <w:rsid w:val="00A84F9A"/>
    <w:rsid w:val="00A945C8"/>
    <w:rsid w:val="00AA6259"/>
    <w:rsid w:val="00AA787B"/>
    <w:rsid w:val="00AA79A8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63DA"/>
    <w:rsid w:val="00E76B0E"/>
    <w:rsid w:val="00E819F2"/>
    <w:rsid w:val="00E8478D"/>
    <w:rsid w:val="00E86243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2DA0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12131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2017-01-02T15:01:00Z</dcterms:created>
  <dcterms:modified xsi:type="dcterms:W3CDTF">2017-01-02T15:01:00Z</dcterms:modified>
</cp:coreProperties>
</file>