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C2767A" w:rsidRPr="00994FE3" w:rsidTr="00024A9B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7A" w:rsidRPr="00994FE3" w:rsidRDefault="00C2767A" w:rsidP="00286727">
            <w:pPr>
              <w:pStyle w:val="Nadpis2"/>
              <w:rPr>
                <w:sz w:val="18"/>
              </w:rPr>
            </w:pPr>
            <w:r>
              <w:rPr>
                <w:sz w:val="44"/>
              </w:rPr>
              <w:t xml:space="preserve"> PŘÍKAZNÍ </w:t>
            </w:r>
            <w:r w:rsidRPr="00994FE3">
              <w:rPr>
                <w:sz w:val="44"/>
              </w:rPr>
              <w:t xml:space="preserve">SMLOUVA </w:t>
            </w:r>
            <w:r w:rsidRPr="00994FE3">
              <w:rPr>
                <w:sz w:val="18"/>
              </w:rPr>
              <w:t xml:space="preserve">č. smlouvy </w:t>
            </w:r>
            <w:r>
              <w:rPr>
                <w:sz w:val="18"/>
              </w:rPr>
              <w:t>Příkazníka</w:t>
            </w:r>
            <w:r w:rsidRPr="00994FE3">
              <w:rPr>
                <w:sz w:val="18"/>
              </w:rPr>
              <w:t xml:space="preserve"> </w:t>
            </w:r>
            <w:r>
              <w:rPr>
                <w:sz w:val="18"/>
              </w:rPr>
              <w:t>2019104</w:t>
            </w:r>
          </w:p>
        </w:tc>
      </w:tr>
    </w:tbl>
    <w:p w:rsidR="00C2767A" w:rsidRPr="00994FE3" w:rsidRDefault="00C2767A">
      <w:pPr>
        <w:pStyle w:val="Zhlav"/>
        <w:tabs>
          <w:tab w:val="clear" w:pos="4536"/>
          <w:tab w:val="clear" w:pos="9072"/>
        </w:tabs>
        <w:spacing w:line="240" w:lineRule="atLeast"/>
      </w:pPr>
    </w:p>
    <w:p w:rsidR="00C2767A" w:rsidRPr="00994FE3" w:rsidRDefault="00C2767A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sz w:val="22"/>
        </w:rPr>
      </w:pPr>
      <w:r w:rsidRPr="00994FE3">
        <w:rPr>
          <w:sz w:val="22"/>
        </w:rPr>
        <w:t xml:space="preserve">DLE § </w:t>
      </w:r>
      <w:smartTag w:uri="urn:schemas-microsoft-com:office:smarttags" w:element="metricconverter">
        <w:smartTagPr>
          <w:attr w:name="ProductID" w:val="2430 A"/>
        </w:smartTagPr>
        <w:r>
          <w:rPr>
            <w:sz w:val="22"/>
          </w:rPr>
          <w:t>2430</w:t>
        </w:r>
        <w:r w:rsidRPr="00994FE3">
          <w:rPr>
            <w:sz w:val="22"/>
          </w:rPr>
          <w:t xml:space="preserve"> A</w:t>
        </w:r>
      </w:smartTag>
      <w:r w:rsidRPr="00994FE3">
        <w:rPr>
          <w:sz w:val="22"/>
        </w:rPr>
        <w:t xml:space="preserve"> NÁSL. </w:t>
      </w:r>
      <w:r>
        <w:rPr>
          <w:sz w:val="22"/>
        </w:rPr>
        <w:t xml:space="preserve">OBČANSKÉHO </w:t>
      </w:r>
      <w:r w:rsidRPr="00994FE3">
        <w:rPr>
          <w:sz w:val="22"/>
        </w:rPr>
        <w:t>ZÁKONÍKU</w:t>
      </w:r>
    </w:p>
    <w:p w:rsidR="00C2767A" w:rsidRPr="00994FE3" w:rsidRDefault="00C2767A">
      <w:pPr>
        <w:jc w:val="center"/>
        <w:rPr>
          <w:sz w:val="22"/>
        </w:rPr>
      </w:pPr>
    </w:p>
    <w:p w:rsidR="00C2767A" w:rsidRPr="00994FE3" w:rsidRDefault="00C2767A" w:rsidP="003E2826">
      <w:pPr>
        <w:tabs>
          <w:tab w:val="left" w:pos="3246"/>
        </w:tabs>
        <w:rPr>
          <w:sz w:val="22"/>
        </w:rPr>
      </w:pPr>
    </w:p>
    <w:p w:rsidR="00C2767A" w:rsidRPr="00952B95" w:rsidRDefault="00C2767A" w:rsidP="0008465F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I. </w:t>
      </w:r>
      <w:r w:rsidRPr="00952B95">
        <w:rPr>
          <w:b/>
          <w:sz w:val="22"/>
          <w:u w:val="single"/>
        </w:rPr>
        <w:t>SMLUVNÍ STRANY</w:t>
      </w:r>
    </w:p>
    <w:tbl>
      <w:tblPr>
        <w:tblW w:w="0" w:type="auto"/>
        <w:tblLook w:val="00A0"/>
      </w:tblPr>
      <w:tblGrid>
        <w:gridCol w:w="2943"/>
        <w:gridCol w:w="6269"/>
      </w:tblGrid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  <w:u w:val="single"/>
              </w:rPr>
              <w:t>Příkazce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b/>
                <w:szCs w:val="22"/>
                <w:highlight w:val="yellow"/>
              </w:rPr>
            </w:pPr>
            <w:r w:rsidRPr="00A85DBD">
              <w:rPr>
                <w:sz w:val="22"/>
                <w:szCs w:val="22"/>
              </w:rPr>
              <w:t>Dopravní společnost Zlín-Otrokovice, s.r.o.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Sídlo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 w:rsidRPr="00A85DBD">
              <w:rPr>
                <w:sz w:val="22"/>
                <w:szCs w:val="22"/>
              </w:rPr>
              <w:t>Podvesná XVII 3833, 760 01 Zlín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Zastoupen/a</w:t>
            </w:r>
          </w:p>
        </w:tc>
        <w:tc>
          <w:tcPr>
            <w:tcW w:w="6269" w:type="dxa"/>
          </w:tcPr>
          <w:p w:rsidR="00C2767A" w:rsidRPr="00A85DBD" w:rsidRDefault="00C2767A" w:rsidP="000367F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 w:rsidRPr="00A85DBD">
              <w:rPr>
                <w:sz w:val="22"/>
                <w:szCs w:val="22"/>
              </w:rPr>
              <w:t>Josef Kocháň,</w:t>
            </w:r>
            <w:r w:rsidR="00931C31">
              <w:rPr>
                <w:sz w:val="22"/>
                <w:szCs w:val="22"/>
              </w:rPr>
              <w:t xml:space="preserve"> výkonný ředitel</w:t>
            </w:r>
            <w:r w:rsidRPr="00A85DBD">
              <w:rPr>
                <w:sz w:val="22"/>
                <w:szCs w:val="22"/>
              </w:rPr>
              <w:t xml:space="preserve"> 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IČ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 w:rsidRPr="00A85DBD">
              <w:rPr>
                <w:bCs/>
                <w:sz w:val="22"/>
                <w:szCs w:val="22"/>
              </w:rPr>
              <w:t>60730153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DIČ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 w:rsidRPr="00A85DBD">
              <w:rPr>
                <w:bCs/>
                <w:sz w:val="22"/>
                <w:szCs w:val="22"/>
              </w:rPr>
              <w:t>CZ60730153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Bankovní spojení</w:t>
            </w:r>
          </w:p>
        </w:tc>
        <w:tc>
          <w:tcPr>
            <w:tcW w:w="6269" w:type="dxa"/>
          </w:tcPr>
          <w:p w:rsidR="00C2767A" w:rsidRPr="00A85DBD" w:rsidRDefault="000367FB" w:rsidP="000367FB">
            <w:pPr>
              <w:pStyle w:val="Textkomente"/>
              <w:rPr>
                <w:szCs w:val="22"/>
                <w:highlight w:val="yellow"/>
              </w:rPr>
            </w:pPr>
            <w:r>
              <w:t>Komerční banka, pobočka Zlín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Číslo účtu</w:t>
            </w:r>
          </w:p>
        </w:tc>
        <w:tc>
          <w:tcPr>
            <w:tcW w:w="6269" w:type="dxa"/>
          </w:tcPr>
          <w:p w:rsidR="00C2767A" w:rsidRPr="000367FB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xxxxxxxxx/xxxx</w:t>
            </w:r>
            <w:bookmarkStart w:id="0" w:name="_GoBack"/>
            <w:bookmarkEnd w:id="0"/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Osoby oprávněné jednat</w:t>
            </w:r>
          </w:p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ve věcech technických</w:t>
            </w:r>
          </w:p>
        </w:tc>
        <w:tc>
          <w:tcPr>
            <w:tcW w:w="6269" w:type="dxa"/>
          </w:tcPr>
          <w:p w:rsidR="00C2767A" w:rsidRPr="000367FB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xxxxxxx xxxxxxxx</w:t>
            </w:r>
            <w:r w:rsidR="000367FB" w:rsidRPr="000367FB">
              <w:rPr>
                <w:sz w:val="22"/>
                <w:szCs w:val="22"/>
              </w:rPr>
              <w:t>, vedoucí úseku údržby vozidel</w:t>
            </w:r>
            <w:r w:rsidR="000367FB" w:rsidRPr="000367FB">
              <w:rPr>
                <w:rStyle w:val="Odkaznakoment"/>
                <w:sz w:val="22"/>
                <w:szCs w:val="22"/>
              </w:rPr>
              <w:t xml:space="preserve"> 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Telefon / Fax</w:t>
            </w:r>
          </w:p>
        </w:tc>
        <w:tc>
          <w:tcPr>
            <w:tcW w:w="6269" w:type="dxa"/>
          </w:tcPr>
          <w:p w:rsidR="00C2767A" w:rsidRPr="000367FB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C2767A" w:rsidRPr="000D0720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E-mail</w:t>
            </w:r>
          </w:p>
        </w:tc>
        <w:tc>
          <w:tcPr>
            <w:tcW w:w="6269" w:type="dxa"/>
          </w:tcPr>
          <w:p w:rsidR="00C2767A" w:rsidRPr="00A85DBD" w:rsidRDefault="00F07924" w:rsidP="000367FB">
            <w:pPr>
              <w:pStyle w:val="Textkomente"/>
              <w:rPr>
                <w:highlight w:val="yellow"/>
              </w:rPr>
            </w:pPr>
            <w:r>
              <w:t>xxxxxxxxxxxx</w:t>
            </w:r>
          </w:p>
        </w:tc>
      </w:tr>
    </w:tbl>
    <w:p w:rsidR="00C2767A" w:rsidRPr="000D0720" w:rsidRDefault="00C2767A" w:rsidP="0008465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</w:p>
    <w:p w:rsidR="00C2767A" w:rsidRPr="00994FE3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sektorovým </w:t>
      </w:r>
      <w:r w:rsidRPr="00994FE3">
        <w:rPr>
          <w:sz w:val="22"/>
          <w:szCs w:val="22"/>
        </w:rPr>
        <w:t xml:space="preserve">zadavatelem </w:t>
      </w:r>
      <w:r>
        <w:rPr>
          <w:sz w:val="22"/>
          <w:szCs w:val="22"/>
        </w:rPr>
        <w:t xml:space="preserve">veřejných zakázek </w:t>
      </w:r>
      <w:r w:rsidRPr="00994FE3">
        <w:rPr>
          <w:sz w:val="22"/>
          <w:szCs w:val="22"/>
        </w:rPr>
        <w:t>dle zákona č. 13</w:t>
      </w:r>
      <w:r>
        <w:rPr>
          <w:sz w:val="22"/>
          <w:szCs w:val="22"/>
        </w:rPr>
        <w:t>4</w:t>
      </w:r>
      <w:r w:rsidRPr="00994FE3">
        <w:rPr>
          <w:sz w:val="22"/>
          <w:szCs w:val="22"/>
        </w:rPr>
        <w:t>/20</w:t>
      </w:r>
      <w:r>
        <w:rPr>
          <w:sz w:val="22"/>
          <w:szCs w:val="22"/>
        </w:rPr>
        <w:t>1</w:t>
      </w:r>
      <w:r w:rsidRPr="00994FE3">
        <w:rPr>
          <w:sz w:val="22"/>
          <w:szCs w:val="22"/>
        </w:rPr>
        <w:t>6 Sb.</w:t>
      </w:r>
    </w:p>
    <w:p w:rsidR="00C2767A" w:rsidRPr="00994FE3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994FE3">
        <w:rPr>
          <w:sz w:val="22"/>
          <w:szCs w:val="22"/>
        </w:rPr>
        <w:t>dále jen „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>“</w:t>
      </w:r>
    </w:p>
    <w:p w:rsidR="00C2767A" w:rsidRPr="00994FE3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center"/>
        <w:rPr>
          <w:b/>
          <w:sz w:val="22"/>
          <w:szCs w:val="22"/>
        </w:rPr>
      </w:pPr>
    </w:p>
    <w:p w:rsidR="00C2767A" w:rsidRPr="00994FE3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994FE3">
        <w:rPr>
          <w:sz w:val="22"/>
          <w:szCs w:val="22"/>
        </w:rPr>
        <w:t xml:space="preserve"> </w:t>
      </w:r>
    </w:p>
    <w:tbl>
      <w:tblPr>
        <w:tblW w:w="0" w:type="auto"/>
        <w:tblLook w:val="00A0"/>
      </w:tblPr>
      <w:tblGrid>
        <w:gridCol w:w="2943"/>
        <w:gridCol w:w="6269"/>
      </w:tblGrid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  <w:u w:val="single"/>
              </w:rPr>
              <w:t>Příkazník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b/>
                <w:bCs/>
                <w:sz w:val="22"/>
                <w:szCs w:val="22"/>
              </w:rPr>
              <w:t>MCI SERVIS s.r.o.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Sídlo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Pod Vodojemem 2607, 760 01 Zlín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Zapsán v obchodním rejstříku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vedeném v KS v Brně, oddíl C, vložka č. 54159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IČ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27718158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DIČ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CZ27718158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Bankovní spojení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Komerční banka, a.s. pobočka Zlín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Číslo účtu</w:t>
            </w:r>
          </w:p>
        </w:tc>
        <w:tc>
          <w:tcPr>
            <w:tcW w:w="6269" w:type="dxa"/>
          </w:tcPr>
          <w:p w:rsidR="00C2767A" w:rsidRPr="00A85DBD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xx</w:t>
            </w:r>
            <w:r w:rsidR="00C2767A" w:rsidRPr="00A85DB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xxxxxxxxxx/xxxx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Zastoupen</w:t>
            </w:r>
          </w:p>
        </w:tc>
        <w:tc>
          <w:tcPr>
            <w:tcW w:w="6269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Mgr. Martou Černou, jednatelkou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Telefon / Fax</w:t>
            </w:r>
          </w:p>
        </w:tc>
        <w:tc>
          <w:tcPr>
            <w:tcW w:w="6269" w:type="dxa"/>
          </w:tcPr>
          <w:p w:rsidR="00C2767A" w:rsidRPr="00A85DBD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xxx xxx xxx/xxx xxx xxx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Mobilní telefon</w:t>
            </w:r>
          </w:p>
        </w:tc>
        <w:tc>
          <w:tcPr>
            <w:tcW w:w="6269" w:type="dxa"/>
          </w:tcPr>
          <w:p w:rsidR="00C2767A" w:rsidRPr="00A85DBD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C2767A" w:rsidRPr="00994FE3" w:rsidTr="00A85DBD">
        <w:tc>
          <w:tcPr>
            <w:tcW w:w="2943" w:type="dxa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E-mail</w:t>
            </w:r>
          </w:p>
        </w:tc>
        <w:tc>
          <w:tcPr>
            <w:tcW w:w="6269" w:type="dxa"/>
          </w:tcPr>
          <w:p w:rsidR="00C2767A" w:rsidRPr="00A85DBD" w:rsidRDefault="00F07924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  <w:r>
              <w:rPr>
                <w:rStyle w:val="Hypertextovodkaz"/>
                <w:color w:val="auto"/>
                <w:sz w:val="22"/>
                <w:szCs w:val="22"/>
              </w:rPr>
              <w:t>x</w:t>
            </w:r>
            <w:r>
              <w:rPr>
                <w:rStyle w:val="Hypertextovodkaz"/>
              </w:rPr>
              <w:t>xxxxxxxxxxxxxxxxxxxxx</w:t>
            </w:r>
            <w:r w:rsidRPr="00A85DBD">
              <w:rPr>
                <w:szCs w:val="22"/>
              </w:rPr>
              <w:t xml:space="preserve"> </w:t>
            </w:r>
          </w:p>
        </w:tc>
      </w:tr>
    </w:tbl>
    <w:p w:rsidR="00C2767A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</w:p>
    <w:p w:rsidR="00C2767A" w:rsidRPr="00994FE3" w:rsidRDefault="00C2767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994FE3">
        <w:rPr>
          <w:sz w:val="22"/>
          <w:szCs w:val="22"/>
        </w:rPr>
        <w:t>dále jen „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>“</w:t>
      </w:r>
    </w:p>
    <w:p w:rsidR="00C2767A" w:rsidRPr="00994FE3" w:rsidRDefault="00C2767A">
      <w:pPr>
        <w:rPr>
          <w:b/>
          <w:caps/>
          <w:sz w:val="22"/>
          <w:szCs w:val="22"/>
        </w:rPr>
      </w:pPr>
      <w:r w:rsidRPr="00994FE3">
        <w:rPr>
          <w:b/>
          <w:caps/>
          <w:sz w:val="22"/>
          <w:szCs w:val="22"/>
        </w:rPr>
        <w:br w:type="page"/>
      </w:r>
    </w:p>
    <w:p w:rsidR="00C2767A" w:rsidRPr="006E7D8B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6E7D8B">
        <w:rPr>
          <w:b/>
          <w:sz w:val="22"/>
          <w:u w:val="single"/>
        </w:rPr>
        <w:t>II. DEFINICE ZÁKLADNÍCH ÚDAJŮ</w:t>
      </w:r>
    </w:p>
    <w:tbl>
      <w:tblPr>
        <w:tblW w:w="0" w:type="auto"/>
        <w:tblLook w:val="00A0"/>
      </w:tblPr>
      <w:tblGrid>
        <w:gridCol w:w="2943"/>
        <w:gridCol w:w="6269"/>
      </w:tblGrid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b/>
                <w:caps/>
              </w:rPr>
            </w:pPr>
            <w:r w:rsidRPr="006E7D8B">
              <w:rPr>
                <w:sz w:val="22"/>
                <w:szCs w:val="22"/>
              </w:rPr>
              <w:t>Název zakázky</w:t>
            </w:r>
          </w:p>
        </w:tc>
        <w:tc>
          <w:tcPr>
            <w:tcW w:w="6269" w:type="dxa"/>
            <w:vAlign w:val="center"/>
          </w:tcPr>
          <w:p w:rsidR="00C2767A" w:rsidRPr="006E7D8B" w:rsidRDefault="000367FB" w:rsidP="000367FB">
            <w:pPr>
              <w:pStyle w:val="Textkomente"/>
              <w:rPr>
                <w:b/>
                <w:caps/>
                <w:sz w:val="22"/>
                <w:szCs w:val="22"/>
              </w:rPr>
            </w:pPr>
            <w:r w:rsidRPr="006E7D8B">
              <w:rPr>
                <w:b/>
                <w:sz w:val="22"/>
                <w:szCs w:val="22"/>
              </w:rPr>
              <w:t>Revitalizace vozovny trolejbusů</w:t>
            </w:r>
          </w:p>
        </w:tc>
      </w:tr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b/>
                <w:caps/>
              </w:rPr>
            </w:pPr>
            <w:r w:rsidRPr="006E7D8B">
              <w:rPr>
                <w:sz w:val="22"/>
                <w:szCs w:val="22"/>
              </w:rPr>
              <w:t>Předmět zakázky</w:t>
            </w:r>
          </w:p>
        </w:tc>
        <w:tc>
          <w:tcPr>
            <w:tcW w:w="6269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caps/>
              </w:rPr>
            </w:pPr>
            <w:r w:rsidRPr="006E7D8B">
              <w:rPr>
                <w:sz w:val="22"/>
                <w:szCs w:val="22"/>
              </w:rPr>
              <w:t>stavební práce jen „VZ“</w:t>
            </w:r>
          </w:p>
        </w:tc>
      </w:tr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b/>
                <w:caps/>
              </w:rPr>
            </w:pPr>
            <w:r w:rsidRPr="006E7D8B">
              <w:rPr>
                <w:sz w:val="22"/>
                <w:szCs w:val="22"/>
              </w:rPr>
              <w:t>Limity  zakázky</w:t>
            </w:r>
          </w:p>
        </w:tc>
        <w:tc>
          <w:tcPr>
            <w:tcW w:w="6269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caps/>
              </w:rPr>
            </w:pPr>
            <w:r w:rsidRPr="006E7D8B">
              <w:rPr>
                <w:sz w:val="22"/>
                <w:szCs w:val="22"/>
              </w:rPr>
              <w:t>podlimitní</w:t>
            </w:r>
          </w:p>
        </w:tc>
      </w:tr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b/>
                <w:caps/>
              </w:rPr>
            </w:pPr>
            <w:r w:rsidRPr="006E7D8B">
              <w:rPr>
                <w:sz w:val="22"/>
                <w:szCs w:val="22"/>
              </w:rPr>
              <w:t>Financování  zakázky</w:t>
            </w:r>
          </w:p>
        </w:tc>
        <w:tc>
          <w:tcPr>
            <w:tcW w:w="6269" w:type="dxa"/>
            <w:vAlign w:val="center"/>
          </w:tcPr>
          <w:p w:rsidR="00C2767A" w:rsidRPr="006E7D8B" w:rsidRDefault="00C2767A" w:rsidP="00A85DBD">
            <w:pPr>
              <w:tabs>
                <w:tab w:val="left" w:pos="2340"/>
                <w:tab w:val="left" w:pos="2700"/>
              </w:tabs>
            </w:pPr>
            <w:r w:rsidRPr="006E7D8B">
              <w:rPr>
                <w:sz w:val="22"/>
                <w:szCs w:val="22"/>
              </w:rPr>
              <w:t xml:space="preserve">vlastní zdroje zadavatele </w:t>
            </w:r>
          </w:p>
        </w:tc>
      </w:tr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  <w:rPr>
                <w:b/>
                <w:caps/>
              </w:rPr>
            </w:pPr>
            <w:r w:rsidRPr="006E7D8B">
              <w:rPr>
                <w:sz w:val="22"/>
                <w:szCs w:val="22"/>
              </w:rPr>
              <w:t>Druh výběrového řízení</w:t>
            </w:r>
          </w:p>
        </w:tc>
        <w:tc>
          <w:tcPr>
            <w:tcW w:w="6269" w:type="dxa"/>
            <w:vAlign w:val="center"/>
          </w:tcPr>
          <w:p w:rsidR="00C2767A" w:rsidRPr="006E7D8B" w:rsidRDefault="00C2767A" w:rsidP="00A85DBD">
            <w:pPr>
              <w:tabs>
                <w:tab w:val="left" w:pos="2340"/>
                <w:tab w:val="left" w:pos="2700"/>
              </w:tabs>
            </w:pPr>
            <w:r w:rsidRPr="006E7D8B">
              <w:rPr>
                <w:sz w:val="22"/>
                <w:szCs w:val="22"/>
              </w:rPr>
              <w:t>Podpůrně dle zákona č. 134/2016 Sb. ( dále jen „ZZVZ“)</w:t>
            </w:r>
          </w:p>
        </w:tc>
      </w:tr>
      <w:tr w:rsidR="00C2767A" w:rsidRPr="006E7D8B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</w:pPr>
            <w:r w:rsidRPr="006E7D8B">
              <w:rPr>
                <w:sz w:val="22"/>
                <w:szCs w:val="22"/>
              </w:rPr>
              <w:t>Předpokládaná hodnota veřejné zakázky</w:t>
            </w:r>
          </w:p>
        </w:tc>
        <w:tc>
          <w:tcPr>
            <w:tcW w:w="6269" w:type="dxa"/>
            <w:vAlign w:val="center"/>
          </w:tcPr>
          <w:p w:rsidR="00C2767A" w:rsidRPr="006E7D8B" w:rsidRDefault="00C2767A" w:rsidP="00A85DBD">
            <w:pPr>
              <w:tabs>
                <w:tab w:val="left" w:pos="2340"/>
                <w:tab w:val="left" w:pos="2700"/>
              </w:tabs>
            </w:pPr>
            <w:r w:rsidRPr="006E7D8B">
              <w:rPr>
                <w:b/>
                <w:sz w:val="22"/>
                <w:szCs w:val="22"/>
              </w:rPr>
              <w:t xml:space="preserve">do  </w:t>
            </w:r>
            <w:r w:rsidR="006E7D8B" w:rsidRPr="006E7D8B">
              <w:rPr>
                <w:b/>
                <w:sz w:val="22"/>
                <w:szCs w:val="22"/>
              </w:rPr>
              <w:t>8</w:t>
            </w:r>
            <w:r w:rsidRPr="006E7D8B">
              <w:rPr>
                <w:b/>
                <w:sz w:val="22"/>
                <w:szCs w:val="22"/>
              </w:rPr>
              <w:t xml:space="preserve"> mil Kč</w:t>
            </w:r>
            <w:r w:rsidRPr="006E7D8B">
              <w:rPr>
                <w:sz w:val="22"/>
                <w:szCs w:val="22"/>
              </w:rPr>
              <w:t xml:space="preserve"> bez DPH, hodnota byla stanovena na základě položkového rozpočtu </w:t>
            </w:r>
          </w:p>
        </w:tc>
      </w:tr>
      <w:tr w:rsidR="00C2767A" w:rsidRPr="00994FE3" w:rsidTr="00A85DBD">
        <w:tc>
          <w:tcPr>
            <w:tcW w:w="2943" w:type="dxa"/>
            <w:vAlign w:val="center"/>
          </w:tcPr>
          <w:p w:rsidR="00C2767A" w:rsidRPr="006E7D8B" w:rsidRDefault="00C2767A" w:rsidP="00A85DBD">
            <w:pPr>
              <w:tabs>
                <w:tab w:val="left" w:pos="2700"/>
              </w:tabs>
            </w:pPr>
            <w:r w:rsidRPr="006E7D8B">
              <w:rPr>
                <w:sz w:val="22"/>
                <w:szCs w:val="22"/>
              </w:rPr>
              <w:t>Podklady, které Příkazce předá</w:t>
            </w:r>
          </w:p>
          <w:p w:rsidR="00C2767A" w:rsidRPr="006E7D8B" w:rsidRDefault="00C2767A" w:rsidP="00A85DBD">
            <w:pPr>
              <w:tabs>
                <w:tab w:val="left" w:pos="2700"/>
              </w:tabs>
            </w:pPr>
          </w:p>
        </w:tc>
        <w:tc>
          <w:tcPr>
            <w:tcW w:w="6269" w:type="dxa"/>
            <w:vAlign w:val="center"/>
          </w:tcPr>
          <w:p w:rsidR="00C2767A" w:rsidRPr="00A85DBD" w:rsidRDefault="00C2767A" w:rsidP="00A85DBD">
            <w:pPr>
              <w:tabs>
                <w:tab w:val="left" w:pos="2340"/>
                <w:tab w:val="left" w:pos="2700"/>
              </w:tabs>
            </w:pPr>
            <w:r w:rsidRPr="006E7D8B">
              <w:rPr>
                <w:color w:val="000000"/>
                <w:spacing w:val="-3"/>
                <w:sz w:val="22"/>
                <w:szCs w:val="22"/>
              </w:rPr>
              <w:t>Projektovou dokumentaci, Soupis stavebních prací s výkazem výměr</w:t>
            </w:r>
          </w:p>
        </w:tc>
      </w:tr>
    </w:tbl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III.</w:t>
      </w:r>
      <w:r w:rsidRPr="00AC384D">
        <w:rPr>
          <w:b/>
          <w:sz w:val="22"/>
          <w:u w:val="single"/>
        </w:rPr>
        <w:t xml:space="preserve"> PROHLÁŠENÍ ÚČASTNÍKŮ SMLOUVY </w:t>
      </w:r>
    </w:p>
    <w:p w:rsidR="00C2767A" w:rsidRPr="00126A15" w:rsidRDefault="00C2767A" w:rsidP="006E7D8B">
      <w:pPr>
        <w:pStyle w:val="Odstavecseseznamem"/>
        <w:numPr>
          <w:ilvl w:val="0"/>
          <w:numId w:val="18"/>
        </w:numPr>
        <w:ind w:left="360"/>
        <w:jc w:val="both"/>
        <w:rPr>
          <w:sz w:val="22"/>
          <w:szCs w:val="22"/>
        </w:rPr>
      </w:pPr>
      <w:r w:rsidRPr="00126A15">
        <w:rPr>
          <w:sz w:val="22"/>
          <w:szCs w:val="22"/>
        </w:rPr>
        <w:t xml:space="preserve">Příkazník je právnickou osobou podnikající v souladu s právními předpisy ČR. Příkazník tímto prohlašuje, že má veškerá práva a způsobilost k tomu, aby plnil závazky vyplývající z uzavřené smlouvy, že neexistují žádné právní překážky, žádná rozhodnutí správních, soudních a jiných orgánů v České republice ani v jiných zemích, která by bránila či omezovala plnění jeho závazků a že uzavřením smlouvy nedojde k porušení žádného obecně závazného předpisu, nařízení nebo smlouvy. </w:t>
      </w:r>
    </w:p>
    <w:p w:rsidR="00C2767A" w:rsidRPr="00E15E9A" w:rsidRDefault="00C2767A" w:rsidP="006E7D8B">
      <w:pPr>
        <w:pStyle w:val="Odstavecseseznamem"/>
        <w:numPr>
          <w:ilvl w:val="0"/>
          <w:numId w:val="18"/>
        </w:numPr>
        <w:ind w:left="36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je právnickou osobou, kter</w:t>
      </w:r>
      <w:r>
        <w:rPr>
          <w:sz w:val="22"/>
          <w:szCs w:val="22"/>
        </w:rPr>
        <w:t>á</w:t>
      </w:r>
      <w:r w:rsidRPr="00994FE3">
        <w:rPr>
          <w:sz w:val="22"/>
          <w:szCs w:val="22"/>
        </w:rPr>
        <w:t xml:space="preserve"> hodlá provést </w:t>
      </w:r>
      <w:r>
        <w:rPr>
          <w:sz w:val="22"/>
          <w:szCs w:val="22"/>
        </w:rPr>
        <w:t>výběrové</w:t>
      </w:r>
      <w:r w:rsidRPr="00994FE3">
        <w:rPr>
          <w:sz w:val="22"/>
          <w:szCs w:val="22"/>
        </w:rPr>
        <w:t xml:space="preserve"> řízení </w:t>
      </w:r>
      <w:r>
        <w:rPr>
          <w:sz w:val="22"/>
          <w:szCs w:val="22"/>
        </w:rPr>
        <w:t>na podlimitní veřejnou zakázku. Příkazce není povinen u podlimitní veřejné zakázky postupovat dle ZZVZ, avšak bude ve výběrovém řízení postupovat dle ZZVZ podpůrně.</w:t>
      </w:r>
      <w:r w:rsidRPr="00994FE3">
        <w:rPr>
          <w:sz w:val="22"/>
          <w:szCs w:val="22"/>
        </w:rPr>
        <w:t xml:space="preserve">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tímto prohlašuje, že má veškerá práva a způsobilost k tomu, aby plnil závazky vyplývající z uzavřené smlouvy, že neexistují žádné právní překážky, žádná rozhodnutí správních, soudních a jiných orgánů v České republice, ani v jiných zemích, která by bránila či omezovala plnění jeho závazků a že uzavřením smlouvy nedojde k porušení žádného obecně závazného předpisu, nařízení nebo smlouvy. </w:t>
      </w:r>
    </w:p>
    <w:p w:rsidR="00C2767A" w:rsidRPr="004705EE" w:rsidRDefault="00C2767A" w:rsidP="00E15E9A">
      <w:pPr>
        <w:pStyle w:val="Odstavecseseznamem"/>
        <w:tabs>
          <w:tab w:val="left" w:pos="2340"/>
          <w:tab w:val="left" w:pos="2700"/>
        </w:tabs>
        <w:ind w:left="360"/>
        <w:jc w:val="both"/>
        <w:rPr>
          <w:caps/>
          <w:sz w:val="22"/>
          <w:szCs w:val="22"/>
        </w:rPr>
      </w:pP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IV. </w:t>
      </w:r>
      <w:r w:rsidRPr="00AC384D">
        <w:rPr>
          <w:b/>
          <w:sz w:val="22"/>
          <w:u w:val="single"/>
        </w:rPr>
        <w:t>PŘEDMĚT A MÍSTO PLNĚNÍ</w:t>
      </w:r>
    </w:p>
    <w:p w:rsidR="00C2767A" w:rsidRPr="000D0720" w:rsidRDefault="00C2767A" w:rsidP="00A26125">
      <w:pPr>
        <w:numPr>
          <w:ilvl w:val="0"/>
          <w:numId w:val="3"/>
        </w:numPr>
        <w:tabs>
          <w:tab w:val="clear" w:pos="720"/>
          <w:tab w:val="num" w:pos="360"/>
        </w:tabs>
        <w:ind w:left="360" w:hanging="218"/>
        <w:jc w:val="both"/>
        <w:rPr>
          <w:b/>
          <w:sz w:val="22"/>
        </w:rPr>
      </w:pPr>
      <w:r w:rsidRPr="000D0720">
        <w:rPr>
          <w:sz w:val="22"/>
          <w:szCs w:val="22"/>
        </w:rPr>
        <w:t>Příkazník se tímto zavazuje provádět pro Příkazce výkon zadavatelských činností</w:t>
      </w:r>
      <w:r>
        <w:rPr>
          <w:sz w:val="22"/>
          <w:szCs w:val="22"/>
        </w:rPr>
        <w:t xml:space="preserve"> na podlimitní veřejné zakázce. </w:t>
      </w:r>
    </w:p>
    <w:p w:rsidR="00C2767A" w:rsidRPr="000D0720" w:rsidRDefault="00C2767A" w:rsidP="000D0720">
      <w:pPr>
        <w:ind w:left="360"/>
        <w:jc w:val="both"/>
        <w:rPr>
          <w:b/>
          <w:sz w:val="22"/>
        </w:rPr>
      </w:pPr>
    </w:p>
    <w:p w:rsidR="00C2767A" w:rsidRPr="00994FE3" w:rsidRDefault="00C2767A" w:rsidP="00D24A54">
      <w:pPr>
        <w:numPr>
          <w:ilvl w:val="0"/>
          <w:numId w:val="3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poskytovat i další dohodnuté služby, činnosti a práce související s výkonem zadavatelských činností pro řízení dle této smlouvy, a to v rozsahu, způsobem a za podmínek dohodnutých v dalších ustanoveních této smlouvy</w:t>
      </w:r>
      <w:r>
        <w:rPr>
          <w:sz w:val="22"/>
          <w:szCs w:val="22"/>
        </w:rPr>
        <w:t>.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3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vykonávat zejména tyto činnosti v průběhu </w:t>
      </w:r>
      <w:r>
        <w:rPr>
          <w:sz w:val="22"/>
          <w:szCs w:val="22"/>
        </w:rPr>
        <w:t>výběrového</w:t>
      </w:r>
      <w:r w:rsidRPr="00994FE3">
        <w:rPr>
          <w:sz w:val="22"/>
          <w:szCs w:val="22"/>
        </w:rPr>
        <w:t xml:space="preserve"> řízení: </w:t>
      </w:r>
    </w:p>
    <w:p w:rsidR="00C2767A" w:rsidRPr="00994FE3" w:rsidRDefault="00C2767A" w:rsidP="00B55CDB">
      <w:pPr>
        <w:jc w:val="both"/>
        <w:rPr>
          <w:bCs/>
          <w:sz w:val="22"/>
          <w:szCs w:val="22"/>
        </w:rPr>
      </w:pPr>
    </w:p>
    <w:tbl>
      <w:tblPr>
        <w:tblW w:w="0" w:type="auto"/>
        <w:tblLook w:val="00A0"/>
      </w:tblPr>
      <w:tblGrid>
        <w:gridCol w:w="9288"/>
      </w:tblGrid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>A.</w:t>
            </w:r>
            <w:r w:rsidRPr="00A85DBD">
              <w:rPr>
                <w:b/>
                <w:sz w:val="22"/>
                <w:szCs w:val="22"/>
              </w:rPr>
              <w:tab/>
              <w:t>Přípravná fáze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definování předmětu zadávání zakázky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stanovení strategie pro zabezpečení zakázky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594639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zpracování harmonogramu výběrového řízení</w:t>
            </w:r>
          </w:p>
          <w:p w:rsidR="00C2767A" w:rsidRPr="00994FE3" w:rsidRDefault="00C2767A" w:rsidP="00A85DBD">
            <w:pPr>
              <w:ind w:left="720"/>
              <w:jc w:val="both"/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 xml:space="preserve">B. </w:t>
            </w:r>
            <w:r w:rsidRPr="00A85DBD">
              <w:rPr>
                <w:b/>
                <w:sz w:val="22"/>
                <w:szCs w:val="22"/>
              </w:rPr>
              <w:tab/>
              <w:t>Vypracování  zadávací dokumentace (soutěžních podkladů)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popis předmětu veřejné zakázky a zařazení předmětu veřejné zakázky podle evropské klasifikace – CPV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4E7345" w:rsidP="00A85DBD">
            <w:pPr>
              <w:numPr>
                <w:ilvl w:val="0"/>
                <w:numId w:val="10"/>
              </w:numPr>
              <w:jc w:val="both"/>
            </w:pPr>
            <w:r>
              <w:rPr>
                <w:sz w:val="22"/>
                <w:szCs w:val="22"/>
              </w:rPr>
              <w:t>vypracování</w:t>
            </w:r>
            <w:r w:rsidR="00C2767A" w:rsidRPr="00A85DBD">
              <w:rPr>
                <w:sz w:val="22"/>
                <w:szCs w:val="22"/>
              </w:rPr>
              <w:t xml:space="preserve"> zadávací dokumentace, včetně stanovení neměnných částí v rozsahu: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lastRenderedPageBreak/>
              <w:t xml:space="preserve">stanovení kritérií pro zadání veřejné zakázky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stanovení způsobu hodnocení kritérií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4E7345" w:rsidP="00A85DBD">
            <w:pPr>
              <w:numPr>
                <w:ilvl w:val="0"/>
                <w:numId w:val="10"/>
              </w:numPr>
              <w:jc w:val="both"/>
            </w:pPr>
            <w:r>
              <w:rPr>
                <w:sz w:val="22"/>
                <w:szCs w:val="22"/>
              </w:rPr>
              <w:t>vypracování</w:t>
            </w:r>
            <w:r w:rsidR="00C2767A" w:rsidRPr="00A85DBD">
              <w:rPr>
                <w:sz w:val="22"/>
                <w:szCs w:val="22"/>
              </w:rPr>
              <w:t xml:space="preserve"> obchodních podmínek v podobě návrhu smlouvy o dílo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stanovení podmínek výběrového řízení</w:t>
            </w:r>
          </w:p>
        </w:tc>
      </w:tr>
      <w:tr w:rsidR="00C2767A" w:rsidRPr="00994FE3" w:rsidTr="00A85DBD">
        <w:trPr>
          <w:trHeight w:val="319"/>
        </w:trPr>
        <w:tc>
          <w:tcPr>
            <w:tcW w:w="9288" w:type="dxa"/>
          </w:tcPr>
          <w:p w:rsidR="00C2767A" w:rsidRPr="00A85DBD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stanovení kvalifikace dodavatelů a způsob prokázání </w:t>
            </w:r>
          </w:p>
        </w:tc>
      </w:tr>
      <w:tr w:rsidR="00C2767A" w:rsidRPr="00994FE3" w:rsidTr="00A85DBD">
        <w:trPr>
          <w:trHeight w:val="268"/>
        </w:trPr>
        <w:tc>
          <w:tcPr>
            <w:tcW w:w="9288" w:type="dxa"/>
          </w:tcPr>
          <w:p w:rsidR="00C2767A" w:rsidRPr="00A85DBD" w:rsidRDefault="00C2767A" w:rsidP="00A85DBD">
            <w:pPr>
              <w:jc w:val="both"/>
              <w:rPr>
                <w:b/>
              </w:rPr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 xml:space="preserve">C. </w:t>
            </w:r>
            <w:r w:rsidRPr="00A85DBD">
              <w:rPr>
                <w:b/>
                <w:sz w:val="22"/>
                <w:szCs w:val="22"/>
              </w:rPr>
              <w:tab/>
              <w:t xml:space="preserve"> Zpracování výzvy k podání nabídek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</w:rPr>
              <w:t xml:space="preserve">vypracování výzvy k podání nabídek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</w:rPr>
              <w:t>zaslání výzvy Příkazci k uveřejnění na web stránkách Příkazce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jc w:val="both"/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 xml:space="preserve">D. </w:t>
            </w:r>
            <w:r w:rsidRPr="00A85DBD">
              <w:rPr>
                <w:b/>
                <w:sz w:val="22"/>
                <w:szCs w:val="22"/>
              </w:rPr>
              <w:tab/>
              <w:t>Zaslání zadávací  dokumentace (soutěžních podkladů) vybraným dodavatelům leteckou poštou ( 5-ti dodavatelům)</w:t>
            </w:r>
          </w:p>
          <w:p w:rsidR="00C2767A" w:rsidRPr="00A85DBD" w:rsidRDefault="00C2767A" w:rsidP="00A85DBD">
            <w:pPr>
              <w:keepNext/>
              <w:spacing w:after="120"/>
              <w:ind w:left="357" w:hanging="357"/>
              <w:jc w:val="both"/>
              <w:rPr>
                <w:b/>
              </w:rPr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 xml:space="preserve">E. Vysvětlení  zadávací dokumentace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vypracování odpovědí k žádostem o vysvětlení zadávací dokumentace za spolupráce s Příkazcem a projektantem a zaslání odpovědi dodavatelům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spoluorganizování prohlídky místa plnění s podáním potřebných informací za účasti Příkazce a projektanta   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vypracování záznamů z prohlídky místa plnění, předání dodavatelům 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jc w:val="both"/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jc w:val="both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t>F. Přijímání nabídek, otevírání obálek s nabídkami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přijímání a evidování podaných nabídek, vypracování seznamu doručených nabídek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>vypracování a předávání potvrzení o převzetí nabídek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101A26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organizační zabezpečení otevírání obálek s nabídkami ve spolupráci s Příkazcem - zadavatelem v sídle Příkazníka</w:t>
            </w:r>
          </w:p>
        </w:tc>
      </w:tr>
      <w:tr w:rsidR="00C2767A" w:rsidRPr="00994FE3" w:rsidTr="00A85DBD">
        <w:trPr>
          <w:trHeight w:val="330"/>
        </w:trPr>
        <w:tc>
          <w:tcPr>
            <w:tcW w:w="9288" w:type="dxa"/>
          </w:tcPr>
          <w:p w:rsidR="00C2767A" w:rsidRPr="00101A26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 xml:space="preserve">kontrola oprávnění zástupce dodavatele zúčastnit se otevírání nabídek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účast při otevírání obálek s nabídkami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 xml:space="preserve">zajištění zaslání oznámení o pozdním podání nabídek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 xml:space="preserve">vypracování protokolu o otevírání obálek s nabídkami 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126A15"/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Nadpis5"/>
              <w:ind w:left="1416" w:hanging="1416"/>
            </w:pPr>
            <w:r w:rsidRPr="00A85DBD">
              <w:rPr>
                <w:sz w:val="22"/>
                <w:szCs w:val="22"/>
              </w:rPr>
              <w:t>G. Komise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 xml:space="preserve">příprava podkladu pro zadavatele pro jmenování členů komise      </w:t>
            </w:r>
          </w:p>
        </w:tc>
      </w:tr>
      <w:tr w:rsidR="00C2767A" w:rsidRPr="00994FE3" w:rsidTr="00A85DBD">
        <w:trPr>
          <w:trHeight w:val="272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zpracování návrhu rozhodnutí o jmenování členů komise</w:t>
            </w:r>
          </w:p>
        </w:tc>
      </w:tr>
      <w:tr w:rsidR="00C2767A" w:rsidRPr="00994FE3" w:rsidTr="00A85DBD">
        <w:trPr>
          <w:trHeight w:val="315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zpracování pozvánky pro členy komise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písemného prohlášení pro členy komise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protokolu o jednání komise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126A15"/>
        </w:tc>
      </w:tr>
      <w:tr w:rsidR="00C2767A" w:rsidRPr="00994FE3" w:rsidTr="00A85DBD">
        <w:trPr>
          <w:trHeight w:val="407"/>
        </w:trPr>
        <w:tc>
          <w:tcPr>
            <w:tcW w:w="9288" w:type="dxa"/>
          </w:tcPr>
          <w:p w:rsidR="00C2767A" w:rsidRPr="00A85DBD" w:rsidRDefault="00C2767A" w:rsidP="00AC384D">
            <w:pPr>
              <w:pStyle w:val="Nadpis5"/>
            </w:pPr>
            <w:r w:rsidRPr="00A85DBD">
              <w:rPr>
                <w:sz w:val="22"/>
                <w:szCs w:val="22"/>
              </w:rPr>
              <w:t xml:space="preserve">H. Posouzení kvalifikace dodavatele a posouzení a hodnocení nabídek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posouzení kvalifikace dodavatele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 xml:space="preserve">vypracování rozhodnutí zadavatele o vyloučení dodavatel pro nesplnění kvalifikace 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žádostí o písemné vysvětlení nabídky dodavatelem dle pokynů komise</w:t>
            </w:r>
          </w:p>
        </w:tc>
      </w:tr>
      <w:tr w:rsidR="00C2767A" w:rsidRPr="00994FE3" w:rsidTr="00A85DBD">
        <w:trPr>
          <w:trHeight w:val="402"/>
        </w:trPr>
        <w:tc>
          <w:tcPr>
            <w:tcW w:w="9288" w:type="dxa"/>
          </w:tcPr>
          <w:p w:rsidR="00C2767A" w:rsidRPr="003763A5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žádosti o zdůvodnění mimořádně nízké nabídkové ceny dle pokynů komise</w:t>
            </w:r>
          </w:p>
          <w:p w:rsidR="00C2767A" w:rsidRPr="003763A5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spolupráce s  komisí při hodnocení nabídek</w:t>
            </w:r>
          </w:p>
          <w:p w:rsidR="00C2767A" w:rsidRPr="003763A5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návrhu zdůvodnění pořadí nabídek</w:t>
            </w:r>
          </w:p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zprávy o posouzení a hodnocení nabídek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numPr>
                <w:ilvl w:val="0"/>
                <w:numId w:val="10"/>
              </w:numPr>
              <w:rPr>
                <w:b/>
              </w:rPr>
            </w:pPr>
            <w:r w:rsidRPr="00A85DBD">
              <w:rPr>
                <w:sz w:val="22"/>
                <w:szCs w:val="22"/>
              </w:rPr>
              <w:t>vypracování rozhodnutí zadavatele o vyloučení dodavatele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126A15">
            <w:pPr>
              <w:rPr>
                <w:b/>
              </w:rPr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keepNext/>
              <w:ind w:left="360" w:hanging="360"/>
              <w:rPr>
                <w:b/>
              </w:rPr>
            </w:pPr>
            <w:r w:rsidRPr="00A85DBD">
              <w:rPr>
                <w:b/>
                <w:sz w:val="22"/>
                <w:szCs w:val="22"/>
              </w:rPr>
              <w:lastRenderedPageBreak/>
              <w:t xml:space="preserve">I. </w:t>
            </w:r>
            <w:r w:rsidRPr="00A85DBD">
              <w:rPr>
                <w:b/>
                <w:sz w:val="22"/>
                <w:szCs w:val="22"/>
              </w:rPr>
              <w:tab/>
              <w:t>Ukončení výběrového řízení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625ED" w:rsidRDefault="00C2767A" w:rsidP="00A85DBD">
            <w:pPr>
              <w:numPr>
                <w:ilvl w:val="0"/>
                <w:numId w:val="10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vypracování zdůvodnění při zrušení výběrového řízení a zajištění odeslání zrušení výběrového řízení, pokud tak Příkazce rozhodne      </w:t>
            </w:r>
          </w:p>
          <w:p w:rsidR="00C2767A" w:rsidRPr="00994FE3" w:rsidRDefault="00C2767A" w:rsidP="00A85DBD">
            <w:pPr>
              <w:ind w:left="720"/>
              <w:jc w:val="both"/>
            </w:pP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vypracování návrhu rozhodnutí zadavatele o výběru dodavatele a zaslání všem účastníkům řízení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kontrola návrhu smlouvy vybraného dodavatele s nabídkou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součinnost při uzavření příslušné smlouvy s vybraným dodavatelem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zaslání oznámení dodavatelům o uzavření smlouvy s vybraným dodavatelem</w:t>
            </w:r>
          </w:p>
        </w:tc>
      </w:tr>
      <w:tr w:rsidR="00C2767A" w:rsidRPr="00994FE3" w:rsidTr="00A85DBD">
        <w:trPr>
          <w:trHeight w:val="300"/>
        </w:trPr>
        <w:tc>
          <w:tcPr>
            <w:tcW w:w="9288" w:type="dxa"/>
          </w:tcPr>
          <w:p w:rsidR="00C2767A" w:rsidRPr="00994FE3" w:rsidRDefault="00C2767A" w:rsidP="00A85DBD">
            <w:pPr>
              <w:numPr>
                <w:ilvl w:val="0"/>
                <w:numId w:val="10"/>
              </w:numPr>
            </w:pPr>
            <w:r w:rsidRPr="00A85DBD">
              <w:rPr>
                <w:sz w:val="22"/>
                <w:szCs w:val="22"/>
              </w:rPr>
              <w:t>zpracování a kompletace dokumentace o průběhu výběrového řízení zakázky.</w:t>
            </w:r>
          </w:p>
        </w:tc>
      </w:tr>
    </w:tbl>
    <w:p w:rsidR="00C2767A" w:rsidRPr="00994FE3" w:rsidRDefault="00C2767A">
      <w:pPr>
        <w:pStyle w:val="Zhlav"/>
        <w:tabs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</w:p>
    <w:p w:rsidR="00C2767A" w:rsidRPr="00994FE3" w:rsidRDefault="00C2767A" w:rsidP="00D24A54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 w:hanging="218"/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Činnosti dle této smlouvy jsou splněny i v případě, že uzavření smlouvy s vybraným </w:t>
      </w:r>
      <w:r>
        <w:rPr>
          <w:sz w:val="22"/>
          <w:szCs w:val="22"/>
        </w:rPr>
        <w:t>dodavatelem</w:t>
      </w:r>
      <w:r w:rsidRPr="00994FE3">
        <w:rPr>
          <w:sz w:val="22"/>
          <w:szCs w:val="22"/>
        </w:rPr>
        <w:t xml:space="preserve"> brání okolnosti nezpůsobené činností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>.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se zavazuje za provedené činnosti zaplatit </w:t>
      </w:r>
      <w:r>
        <w:rPr>
          <w:sz w:val="22"/>
          <w:szCs w:val="22"/>
        </w:rPr>
        <w:t>odměnu</w:t>
      </w:r>
      <w:r w:rsidRPr="00994FE3">
        <w:rPr>
          <w:sz w:val="22"/>
          <w:szCs w:val="22"/>
        </w:rPr>
        <w:t xml:space="preserve"> dohodnutou ve smlouvě, v souladu se zákonem o cenách a uhradit </w:t>
      </w:r>
      <w:r>
        <w:rPr>
          <w:sz w:val="22"/>
          <w:szCs w:val="22"/>
        </w:rPr>
        <w:t>Příkazníkovi</w:t>
      </w:r>
      <w:r w:rsidRPr="00994FE3">
        <w:rPr>
          <w:sz w:val="22"/>
          <w:szCs w:val="22"/>
        </w:rPr>
        <w:t xml:space="preserve"> i náklady, nutně</w:t>
      </w:r>
      <w:r>
        <w:rPr>
          <w:sz w:val="22"/>
          <w:szCs w:val="22"/>
        </w:rPr>
        <w:t>,</w:t>
      </w:r>
      <w:r w:rsidRPr="00994FE3">
        <w:rPr>
          <w:sz w:val="22"/>
          <w:szCs w:val="22"/>
        </w:rPr>
        <w:t xml:space="preserve"> nebo užitečně vynaložené při plnění této smlouvy, pokud nejsou zahrnuty v </w:t>
      </w:r>
      <w:r>
        <w:rPr>
          <w:sz w:val="22"/>
          <w:szCs w:val="22"/>
        </w:rPr>
        <w:t>odměně</w:t>
      </w:r>
      <w:r w:rsidRPr="00994FE3">
        <w:rPr>
          <w:sz w:val="22"/>
          <w:szCs w:val="22"/>
        </w:rPr>
        <w:t xml:space="preserve">.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Příkazníkovi</w:t>
      </w:r>
      <w:r w:rsidRPr="00994FE3">
        <w:rPr>
          <w:sz w:val="22"/>
          <w:szCs w:val="22"/>
        </w:rPr>
        <w:t xml:space="preserve"> spolupůsobení v rozsahu a za podmínek dohodnutých v dalších ustanoveních této smlouvy.</w:t>
      </w:r>
    </w:p>
    <w:p w:rsidR="00C2767A" w:rsidRPr="00994FE3" w:rsidRDefault="00C2767A" w:rsidP="00D24A54">
      <w:pPr>
        <w:numPr>
          <w:ilvl w:val="12"/>
          <w:numId w:val="0"/>
        </w:numPr>
        <w:ind w:hanging="218"/>
        <w:jc w:val="both"/>
        <w:rPr>
          <w:sz w:val="22"/>
          <w:szCs w:val="22"/>
        </w:rPr>
      </w:pPr>
    </w:p>
    <w:p w:rsidR="00C2767A" w:rsidRDefault="00C2767A" w:rsidP="00D24A54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 w:hanging="218"/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provádět činnost podle této smlouvy zásadně jménem a na účet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. </w:t>
      </w:r>
    </w:p>
    <w:p w:rsidR="00C2767A" w:rsidRDefault="00C2767A" w:rsidP="004705EE">
      <w:pPr>
        <w:pStyle w:val="Odstavecseseznamem"/>
        <w:rPr>
          <w:sz w:val="22"/>
          <w:szCs w:val="22"/>
        </w:rPr>
      </w:pP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V. </w:t>
      </w:r>
      <w:r w:rsidRPr="00AC384D">
        <w:rPr>
          <w:b/>
          <w:sz w:val="22"/>
          <w:u w:val="single"/>
        </w:rPr>
        <w:t xml:space="preserve">PODMÍNKY PROVÁDĚNÍ ČINNOSTI VYPLÝVAJÍCÍ Z PŘÍKAZNÍ SMLOUVY </w:t>
      </w: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povinen při obstarávání (vyřizování) předmětných záležitostí postupovat a jednat profesionálně, s potřebnou odbornou péčí a veškeré záležitosti vyřizovat řádně a včas. Přitom je povinen respektovat pokyny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a jeho oprávněné zájmy a práva, s nimiž byl seznámen, jež zná či jež vyplývají z povahy obstarávané záležitosti. Od pokynů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se může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odchýlit, jen když je to v zájmu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a nemůže - li si vyžádat jeho včasný souhlas.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povinen oznámit </w:t>
      </w:r>
      <w:r>
        <w:rPr>
          <w:sz w:val="22"/>
          <w:szCs w:val="22"/>
        </w:rPr>
        <w:t>Příkazci</w:t>
      </w:r>
      <w:r w:rsidRPr="00994FE3">
        <w:rPr>
          <w:sz w:val="22"/>
          <w:szCs w:val="22"/>
        </w:rPr>
        <w:t xml:space="preserve"> veškeré skutečnosti, se kterými se při plnění povinností dle této smlouvy seznámil.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povinen připravovat veškeré písemnosti tak, aby nedošlo k prodlení s prováděním úkonů </w:t>
      </w:r>
      <w:r w:rsidRPr="003677E3">
        <w:rPr>
          <w:sz w:val="22"/>
          <w:szCs w:val="22"/>
        </w:rPr>
        <w:t>v</w:t>
      </w:r>
      <w:r>
        <w:rPr>
          <w:sz w:val="22"/>
          <w:szCs w:val="22"/>
        </w:rPr>
        <w:t>e</w:t>
      </w:r>
      <w:r w:rsidRPr="003677E3">
        <w:rPr>
          <w:sz w:val="22"/>
          <w:szCs w:val="22"/>
        </w:rPr>
        <w:t> 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>m</w:t>
      </w:r>
      <w:r w:rsidRPr="00994FE3">
        <w:rPr>
          <w:sz w:val="22"/>
          <w:szCs w:val="22"/>
        </w:rPr>
        <w:t xml:space="preserve"> řízení. </w:t>
      </w:r>
    </w:p>
    <w:p w:rsidR="00C2767A" w:rsidRPr="00994FE3" w:rsidRDefault="00C2767A" w:rsidP="00D24A54">
      <w:pPr>
        <w:pStyle w:val="Zhlav"/>
        <w:numPr>
          <w:ilvl w:val="12"/>
          <w:numId w:val="0"/>
        </w:numPr>
        <w:tabs>
          <w:tab w:val="clear" w:pos="4536"/>
          <w:tab w:val="clear" w:pos="9072"/>
        </w:tabs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 případě pochybností o obsahu pokynu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si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vyžádá upřesňující stanovisko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. Smluvní strany se zavazují řešit veškeré nejasnosti a doplnit chybějící údaje a doklady ihned po jejich zjištění tak, aby nedocházelo k průtahům v obstarání záležitostí. 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průběžně, nejméně 1x za dva týdny informovat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o stavu vyřizování záležitostí</w:t>
      </w:r>
      <w:r>
        <w:rPr>
          <w:sz w:val="22"/>
          <w:szCs w:val="22"/>
        </w:rPr>
        <w:t>.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povinen zachovávat mlčenlivost o všech údajích, týkajících se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, o kterých se v souvislosti s plněním podle této smlouvy dozvěděl, s výjimkou skutečností, které je povinen sdělit státním orgánům na základě zákona.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povinen chránit a uchovávat v tajnosti jako obchodní tajemství veškeré dokumenty, technické či jiné informace, data, podklady či jiné skutečnosti, ke kterým získal přístup v souvislosti s plněním této smlouvy ve vztahu k </w:t>
      </w:r>
      <w:r>
        <w:rPr>
          <w:sz w:val="22"/>
          <w:szCs w:val="22"/>
        </w:rPr>
        <w:t>Příkazci</w:t>
      </w:r>
      <w:r w:rsidRPr="00994FE3">
        <w:rPr>
          <w:sz w:val="22"/>
          <w:szCs w:val="22"/>
        </w:rPr>
        <w:t>.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po ukončení výkonu zadavatelských činností předá </w:t>
      </w:r>
      <w:r>
        <w:rPr>
          <w:sz w:val="22"/>
          <w:szCs w:val="22"/>
        </w:rPr>
        <w:t>Příkazci</w:t>
      </w:r>
      <w:r w:rsidRPr="00994FE3">
        <w:rPr>
          <w:sz w:val="22"/>
          <w:szCs w:val="22"/>
        </w:rPr>
        <w:t xml:space="preserve"> veškeré doklady, písemnosti apod., které se týkají výše uvedené  zakázky a které v průběhu provádění zadavatelské činnosti pro něho získal nebo obstaral 1x v tištěné formě.</w:t>
      </w:r>
    </w:p>
    <w:p w:rsidR="00C2767A" w:rsidRPr="00994FE3" w:rsidRDefault="00C2767A" w:rsidP="0063198F">
      <w:pPr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informovat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v každém případě, kdy jím prováděná opatření nejsou účinná, nebo dostatečná, případně kdy hrozí nebezpečí z prodlení a je třeba, aby byl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o takové situaci informován. 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994FE3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bude svou činnost vykonávat jednak v sídle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, jednak v sídle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>, ale jen na území České republiky.</w:t>
      </w:r>
    </w:p>
    <w:p w:rsidR="00C2767A" w:rsidRPr="00994FE3" w:rsidRDefault="00C2767A">
      <w:pPr>
        <w:jc w:val="both"/>
        <w:rPr>
          <w:caps/>
          <w:sz w:val="22"/>
          <w:szCs w:val="22"/>
        </w:rPr>
      </w:pPr>
    </w:p>
    <w:p w:rsidR="00C2767A" w:rsidRDefault="00C2767A" w:rsidP="00D24A54">
      <w:pPr>
        <w:numPr>
          <w:ilvl w:val="0"/>
          <w:numId w:val="4"/>
        </w:numPr>
        <w:tabs>
          <w:tab w:val="clear" w:pos="720"/>
          <w:tab w:val="num" w:pos="360"/>
        </w:tabs>
        <w:ind w:left="360" w:hanging="218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Příkazník</w:t>
      </w:r>
      <w:r w:rsidRPr="00994FE3">
        <w:rPr>
          <w:color w:val="000000"/>
          <w:spacing w:val="-3"/>
          <w:sz w:val="22"/>
          <w:szCs w:val="22"/>
        </w:rPr>
        <w:t xml:space="preserve"> prohlašuje, že v době podpisu této smlouvy není </w:t>
      </w:r>
      <w:r>
        <w:rPr>
          <w:color w:val="000000"/>
          <w:spacing w:val="-3"/>
          <w:sz w:val="22"/>
          <w:szCs w:val="22"/>
        </w:rPr>
        <w:t xml:space="preserve">ve střetu zájmu </w:t>
      </w:r>
      <w:r w:rsidRPr="00994FE3">
        <w:rPr>
          <w:color w:val="000000"/>
          <w:spacing w:val="-3"/>
          <w:sz w:val="22"/>
          <w:szCs w:val="22"/>
        </w:rPr>
        <w:t xml:space="preserve">ve smyslu § </w:t>
      </w:r>
      <w:r>
        <w:rPr>
          <w:color w:val="000000"/>
          <w:spacing w:val="-3"/>
          <w:sz w:val="22"/>
          <w:szCs w:val="22"/>
        </w:rPr>
        <w:t>44</w:t>
      </w:r>
      <w:r w:rsidRPr="00994FE3">
        <w:rPr>
          <w:color w:val="000000"/>
          <w:spacing w:val="-3"/>
          <w:sz w:val="22"/>
          <w:szCs w:val="22"/>
        </w:rPr>
        <w:t xml:space="preserve"> zákona </w:t>
      </w:r>
      <w:r>
        <w:rPr>
          <w:color w:val="000000"/>
          <w:spacing w:val="-3"/>
          <w:sz w:val="22"/>
          <w:szCs w:val="22"/>
        </w:rPr>
        <w:br/>
      </w:r>
      <w:r w:rsidRPr="00994FE3">
        <w:rPr>
          <w:color w:val="000000"/>
          <w:spacing w:val="-3"/>
          <w:sz w:val="22"/>
          <w:szCs w:val="22"/>
        </w:rPr>
        <w:t>č. 13</w:t>
      </w:r>
      <w:r>
        <w:rPr>
          <w:color w:val="000000"/>
          <w:spacing w:val="-3"/>
          <w:sz w:val="22"/>
          <w:szCs w:val="22"/>
        </w:rPr>
        <w:t>4</w:t>
      </w:r>
      <w:r w:rsidRPr="00994FE3">
        <w:rPr>
          <w:color w:val="000000"/>
          <w:spacing w:val="-3"/>
          <w:sz w:val="22"/>
          <w:szCs w:val="22"/>
        </w:rPr>
        <w:t>/20</w:t>
      </w:r>
      <w:r>
        <w:rPr>
          <w:color w:val="000000"/>
          <w:spacing w:val="-3"/>
          <w:sz w:val="22"/>
          <w:szCs w:val="22"/>
        </w:rPr>
        <w:t>1</w:t>
      </w:r>
      <w:r w:rsidRPr="00994FE3">
        <w:rPr>
          <w:color w:val="000000"/>
          <w:spacing w:val="-3"/>
          <w:sz w:val="22"/>
          <w:szCs w:val="22"/>
        </w:rPr>
        <w:t xml:space="preserve">6 Sb. Pokud by v průběhu </w:t>
      </w:r>
      <w:r>
        <w:rPr>
          <w:color w:val="000000"/>
          <w:spacing w:val="-3"/>
          <w:sz w:val="22"/>
          <w:szCs w:val="22"/>
        </w:rPr>
        <w:t>výběrové</w:t>
      </w:r>
      <w:r w:rsidRPr="00994FE3">
        <w:rPr>
          <w:color w:val="000000"/>
          <w:spacing w:val="-3"/>
          <w:sz w:val="22"/>
          <w:szCs w:val="22"/>
        </w:rPr>
        <w:t>ho řízení nastaly nové skutečnosti ve vztahu k</w:t>
      </w:r>
      <w:r>
        <w:rPr>
          <w:color w:val="000000"/>
          <w:spacing w:val="-3"/>
          <w:sz w:val="22"/>
          <w:szCs w:val="22"/>
        </w:rPr>
        <w:t>e střetu zájmu</w:t>
      </w:r>
      <w:r w:rsidRPr="00994FE3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Příkazníka</w:t>
      </w:r>
      <w:r w:rsidRPr="00994FE3">
        <w:rPr>
          <w:color w:val="000000"/>
          <w:spacing w:val="-3"/>
          <w:sz w:val="22"/>
          <w:szCs w:val="22"/>
        </w:rPr>
        <w:t xml:space="preserve">, zavazuje se tento </w:t>
      </w:r>
      <w:r>
        <w:rPr>
          <w:color w:val="000000"/>
          <w:spacing w:val="-3"/>
          <w:sz w:val="22"/>
          <w:szCs w:val="22"/>
        </w:rPr>
        <w:t>Příkazce</w:t>
      </w:r>
      <w:r w:rsidRPr="00994FE3">
        <w:rPr>
          <w:color w:val="000000"/>
          <w:spacing w:val="-3"/>
          <w:sz w:val="22"/>
          <w:szCs w:val="22"/>
        </w:rPr>
        <w:t xml:space="preserve"> o tom neprodleně písemně informovat. Pokud tak neučiní, má se za to, že nenastaly žádné změny.</w:t>
      </w:r>
      <w:r w:rsidRPr="00994FE3">
        <w:rPr>
          <w:color w:val="000000"/>
          <w:spacing w:val="-1"/>
          <w:sz w:val="22"/>
          <w:szCs w:val="22"/>
        </w:rPr>
        <w:t xml:space="preserve"> </w:t>
      </w: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C384D">
        <w:rPr>
          <w:b/>
          <w:sz w:val="22"/>
          <w:u w:val="single"/>
        </w:rPr>
        <w:t>VI. SPOLUPŮSOBENÍ PŘÍKAZCE</w:t>
      </w:r>
    </w:p>
    <w:p w:rsidR="00C2767A" w:rsidRPr="00994FE3" w:rsidRDefault="00C2767A" w:rsidP="004E7345">
      <w:pPr>
        <w:numPr>
          <w:ilvl w:val="0"/>
          <w:numId w:val="11"/>
        </w:numPr>
        <w:tabs>
          <w:tab w:val="clear" w:pos="2204"/>
        </w:tabs>
        <w:ind w:left="360" w:hanging="218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, jako zadavatel, je povinen zajistit neprodleně projednání, rozhodnutí a podpis statutárním orgánem dokladů a listin, které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zpracuje a předloží mu v souladu s příslušnými právními předpisy.</w:t>
      </w:r>
    </w:p>
    <w:p w:rsidR="00C2767A" w:rsidRPr="00994F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3677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 w:hanging="218"/>
        <w:jc w:val="both"/>
        <w:rPr>
          <w:sz w:val="22"/>
          <w:szCs w:val="22"/>
        </w:rPr>
      </w:pPr>
      <w:r w:rsidRPr="003677E3">
        <w:rPr>
          <w:sz w:val="22"/>
          <w:szCs w:val="22"/>
        </w:rPr>
        <w:t>Příkazce je také, podle ustanovení § 2 písm. e) zákona č. 320/2</w:t>
      </w:r>
      <w:r>
        <w:rPr>
          <w:sz w:val="22"/>
          <w:szCs w:val="22"/>
        </w:rPr>
        <w:t xml:space="preserve">001 Sb., o finanční kontrole </w:t>
      </w:r>
      <w:r w:rsidRPr="005B1E07">
        <w:t>ve</w:t>
      </w:r>
      <w:r>
        <w:t> </w:t>
      </w:r>
      <w:r w:rsidRPr="005B1E07">
        <w:t>veřejné</w:t>
      </w:r>
      <w:r w:rsidRPr="003677E3">
        <w:rPr>
          <w:sz w:val="22"/>
          <w:szCs w:val="22"/>
        </w:rPr>
        <w:t xml:space="preserve"> správě a o změně některých zákonů (zákon o finanční kontrole), ve znění pozdějších předpisů, osobou povinou spolupůsobit při výkonu finanční kontroly prováděné v souvislosti s úhradou zboží</w:t>
      </w:r>
      <w:r>
        <w:rPr>
          <w:sz w:val="22"/>
          <w:szCs w:val="22"/>
        </w:rPr>
        <w:t>,</w:t>
      </w:r>
      <w:r w:rsidRPr="003677E3">
        <w:rPr>
          <w:sz w:val="22"/>
          <w:szCs w:val="22"/>
        </w:rPr>
        <w:t xml:space="preserve"> nebo služeb z veřejných výdajů. Toto spolupůsobení je povinen zajistit i u vítězných uchazečů a jejich příp. subdodavatelů.</w:t>
      </w:r>
    </w:p>
    <w:p w:rsidR="00C2767A" w:rsidRPr="003677E3" w:rsidRDefault="00C2767A" w:rsidP="00D24A54">
      <w:pPr>
        <w:ind w:hanging="218"/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 w:hanging="218"/>
        <w:jc w:val="both"/>
        <w:rPr>
          <w:sz w:val="22"/>
          <w:szCs w:val="22"/>
        </w:rPr>
      </w:pPr>
      <w:r w:rsidRPr="003677E3">
        <w:rPr>
          <w:sz w:val="22"/>
          <w:szCs w:val="22"/>
        </w:rPr>
        <w:t>Příkazce je povinen bez zbytečného odkladu projednat a rozhodnout zejména t</w:t>
      </w:r>
      <w:r>
        <w:rPr>
          <w:sz w:val="22"/>
          <w:szCs w:val="22"/>
        </w:rPr>
        <w:t>ato jednání</w:t>
      </w:r>
      <w:r w:rsidRPr="003677E3">
        <w:rPr>
          <w:sz w:val="22"/>
          <w:szCs w:val="22"/>
        </w:rPr>
        <w:t>:</w:t>
      </w:r>
    </w:p>
    <w:p w:rsidR="00C2767A" w:rsidRPr="003677E3" w:rsidRDefault="00C2767A" w:rsidP="00B55CDB">
      <w:pPr>
        <w:jc w:val="both"/>
        <w:rPr>
          <w:sz w:val="22"/>
          <w:szCs w:val="22"/>
        </w:rPr>
      </w:pPr>
    </w:p>
    <w:tbl>
      <w:tblPr>
        <w:tblW w:w="0" w:type="auto"/>
        <w:tblLook w:val="00A0"/>
      </w:tblPr>
      <w:tblGrid>
        <w:gridCol w:w="9288"/>
      </w:tblGrid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schválení harmonogramu výběrového řízení,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schválení zadávacích podmínek,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schválení kvalifikačních předpokladů dodavatelů, 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ustanovení nejméně tříčlenné komise pro posouzení kvalifikace dodavatele,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ustanovení nejméně tříčlenné komise pro otevírání obálek,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jmenování členů hodnotící komise/náhradníků členů hodnotící komise a zajistit, aby jedna třetina členů byla odborně způsobilá, 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 xml:space="preserve">rozhodnutí o vyloučení dodavatele, 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rozhodnutí o výběru dodavatele,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rozhodnutí o vyhovění nebo nevyhovění námitkám dodavatele,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uzavření smlouvy s vybraným dodavatelem,</w:t>
            </w:r>
          </w:p>
        </w:tc>
      </w:tr>
      <w:tr w:rsidR="00C2767A" w:rsidRPr="003677E3" w:rsidTr="00A85DBD">
        <w:trPr>
          <w:trHeight w:val="300"/>
        </w:trPr>
        <w:tc>
          <w:tcPr>
            <w:tcW w:w="9288" w:type="dxa"/>
          </w:tcPr>
          <w:p w:rsidR="00C2767A" w:rsidRPr="00A85DBD" w:rsidRDefault="00C2767A" w:rsidP="00A85DBD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A85DBD">
              <w:rPr>
                <w:sz w:val="22"/>
                <w:szCs w:val="22"/>
              </w:rPr>
              <w:t>rozhodnutí o zrušení výběrového řízení.</w:t>
            </w:r>
          </w:p>
        </w:tc>
      </w:tr>
    </w:tbl>
    <w:p w:rsidR="00C2767A" w:rsidRPr="003677E3" w:rsidRDefault="00C2767A" w:rsidP="00891A36">
      <w:pPr>
        <w:pStyle w:val="Odstavecseseznamem"/>
        <w:ind w:left="720"/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 w:hanging="218"/>
        <w:jc w:val="both"/>
        <w:rPr>
          <w:sz w:val="22"/>
          <w:szCs w:val="22"/>
        </w:rPr>
      </w:pPr>
      <w:r w:rsidRPr="003677E3">
        <w:rPr>
          <w:sz w:val="22"/>
          <w:szCs w:val="22"/>
        </w:rPr>
        <w:t xml:space="preserve">Příkazce předá Příkazníkovi nezbytné podklady pro organizaci 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>ho řízení dle čl. II této smlouvy 1x v digitální formě v otevřeném formátu v programech MS Office.</w:t>
      </w:r>
    </w:p>
    <w:p w:rsidR="00C2767A" w:rsidRPr="003677E3" w:rsidRDefault="00C2767A" w:rsidP="00D24A54">
      <w:pPr>
        <w:ind w:left="360" w:hanging="218"/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 w:hanging="218"/>
        <w:jc w:val="both"/>
        <w:rPr>
          <w:sz w:val="22"/>
          <w:szCs w:val="22"/>
        </w:rPr>
      </w:pPr>
      <w:r w:rsidRPr="003677E3">
        <w:rPr>
          <w:sz w:val="22"/>
          <w:szCs w:val="22"/>
        </w:rPr>
        <w:t xml:space="preserve">Příkazce odpovídá za úplnost a správnost technických podkladů 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 xml:space="preserve">ho řízení. Příkazník nenese odpovědnost za předané podklady, není-li dohodnuto jinak. </w:t>
      </w:r>
    </w:p>
    <w:p w:rsidR="00C2767A" w:rsidRPr="003677E3" w:rsidRDefault="00C2767A" w:rsidP="005A0500">
      <w:pPr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/>
        <w:jc w:val="both"/>
        <w:rPr>
          <w:sz w:val="22"/>
          <w:szCs w:val="22"/>
        </w:rPr>
      </w:pPr>
      <w:r w:rsidRPr="003677E3">
        <w:rPr>
          <w:sz w:val="22"/>
          <w:szCs w:val="22"/>
        </w:rPr>
        <w:t xml:space="preserve">Pokud v průběhu 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>ho řízení budou dodavatelé požadovat další informace týkající se technických podmínek zadání, je Příkazce povinen zajistit, aby odpovědi na dotazy byly Příkazníkovi předány nejpozději do dvou dnů ode dne doručení žádosti o</w:t>
      </w:r>
      <w:r>
        <w:rPr>
          <w:sz w:val="22"/>
          <w:szCs w:val="22"/>
        </w:rPr>
        <w:t xml:space="preserve"> vysvětlení zadávací dokumentace</w:t>
      </w:r>
      <w:r w:rsidRPr="003677E3">
        <w:rPr>
          <w:sz w:val="22"/>
          <w:szCs w:val="22"/>
        </w:rPr>
        <w:t>.</w:t>
      </w:r>
    </w:p>
    <w:p w:rsidR="00C2767A" w:rsidRPr="003677E3" w:rsidRDefault="00C2767A" w:rsidP="00D24A54">
      <w:pPr>
        <w:ind w:left="360" w:hanging="360"/>
        <w:jc w:val="both"/>
        <w:rPr>
          <w:sz w:val="22"/>
          <w:szCs w:val="22"/>
        </w:rPr>
      </w:pPr>
      <w:r w:rsidRPr="003677E3">
        <w:rPr>
          <w:sz w:val="22"/>
          <w:szCs w:val="22"/>
        </w:rPr>
        <w:t xml:space="preserve">              </w:t>
      </w: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/>
        <w:jc w:val="both"/>
        <w:rPr>
          <w:sz w:val="22"/>
          <w:szCs w:val="22"/>
        </w:rPr>
      </w:pPr>
      <w:r w:rsidRPr="003677E3">
        <w:rPr>
          <w:sz w:val="22"/>
          <w:szCs w:val="22"/>
        </w:rPr>
        <w:t>Obdrží-li Příkazce jakoukoliv písemnost nebo doklad nebo informaci od dodavatele vztahující se k 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>mu řízení, je povinen jej bezodkladně předat Příkazníkovi. Pokud tak neučiní, nenese Příkazník odpovědnost za prodlení nebo úkony, které jsou s tímto dokumentem spojeny.</w:t>
      </w:r>
    </w:p>
    <w:p w:rsidR="00C2767A" w:rsidRPr="003677E3" w:rsidRDefault="00C2767A" w:rsidP="00D24A54">
      <w:pPr>
        <w:ind w:left="360" w:hanging="360"/>
        <w:jc w:val="both"/>
        <w:rPr>
          <w:sz w:val="22"/>
          <w:szCs w:val="22"/>
        </w:rPr>
      </w:pPr>
    </w:p>
    <w:p w:rsidR="00C2767A" w:rsidRPr="003677E3" w:rsidRDefault="00C2767A" w:rsidP="004E7345">
      <w:pPr>
        <w:numPr>
          <w:ilvl w:val="0"/>
          <w:numId w:val="11"/>
        </w:numPr>
        <w:tabs>
          <w:tab w:val="clear" w:pos="2204"/>
        </w:tabs>
        <w:ind w:left="360"/>
        <w:jc w:val="both"/>
        <w:rPr>
          <w:sz w:val="22"/>
          <w:szCs w:val="22"/>
        </w:rPr>
      </w:pPr>
      <w:r w:rsidRPr="003677E3">
        <w:rPr>
          <w:sz w:val="22"/>
          <w:szCs w:val="22"/>
        </w:rPr>
        <w:lastRenderedPageBreak/>
        <w:t xml:space="preserve">Příkazce je povinen nejpozději 3 dny před uplynutím </w:t>
      </w:r>
      <w:r>
        <w:rPr>
          <w:sz w:val="22"/>
          <w:szCs w:val="22"/>
        </w:rPr>
        <w:t>výběrové</w:t>
      </w:r>
      <w:r w:rsidRPr="003677E3">
        <w:rPr>
          <w:sz w:val="22"/>
          <w:szCs w:val="22"/>
        </w:rPr>
        <w:t xml:space="preserve"> lhůty rozhodnout o výběru </w:t>
      </w:r>
      <w:r>
        <w:rPr>
          <w:sz w:val="22"/>
          <w:szCs w:val="22"/>
        </w:rPr>
        <w:t>dodavatele</w:t>
      </w:r>
      <w:r w:rsidRPr="003677E3">
        <w:rPr>
          <w:sz w:val="22"/>
          <w:szCs w:val="22"/>
        </w:rPr>
        <w:t xml:space="preserve">. Prodlení Příkazce s učiněním tohoto úkonu jde k jeho tíži.  </w:t>
      </w:r>
    </w:p>
    <w:p w:rsidR="00C2767A" w:rsidRPr="003677E3" w:rsidRDefault="00C2767A" w:rsidP="00D24A54">
      <w:pPr>
        <w:ind w:hanging="360"/>
        <w:jc w:val="both"/>
        <w:rPr>
          <w:sz w:val="22"/>
          <w:szCs w:val="22"/>
        </w:rPr>
      </w:pP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C384D">
        <w:rPr>
          <w:b/>
          <w:sz w:val="22"/>
          <w:u w:val="single"/>
        </w:rPr>
        <w:t>VII. TERMÍNY PLNĚNÍ</w:t>
      </w:r>
    </w:p>
    <w:p w:rsidR="00C2767A" w:rsidRPr="003677E3" w:rsidRDefault="00C2767A" w:rsidP="00D24A54">
      <w:pPr>
        <w:numPr>
          <w:ilvl w:val="0"/>
          <w:numId w:val="5"/>
        </w:numPr>
        <w:tabs>
          <w:tab w:val="clear" w:pos="720"/>
          <w:tab w:val="num" w:pos="360"/>
        </w:tabs>
        <w:ind w:left="360" w:hanging="218"/>
        <w:jc w:val="both"/>
        <w:rPr>
          <w:sz w:val="22"/>
          <w:szCs w:val="22"/>
        </w:rPr>
      </w:pPr>
      <w:r w:rsidRPr="003677E3">
        <w:rPr>
          <w:sz w:val="22"/>
          <w:szCs w:val="22"/>
        </w:rPr>
        <w:t>Smlouva se uzavírá do doby vypořádání všech práv a povinností upravených touto smlouvou.</w:t>
      </w:r>
    </w:p>
    <w:p w:rsidR="00C2767A" w:rsidRPr="003677E3" w:rsidRDefault="00C2767A" w:rsidP="00D24A54">
      <w:pPr>
        <w:pStyle w:val="Zkladntextodsazen2"/>
        <w:ind w:hanging="218"/>
        <w:rPr>
          <w:sz w:val="22"/>
          <w:szCs w:val="22"/>
        </w:rPr>
      </w:pPr>
    </w:p>
    <w:p w:rsidR="00C2767A" w:rsidRPr="00994FE3" w:rsidRDefault="00C2767A" w:rsidP="00D24A54">
      <w:pPr>
        <w:pStyle w:val="Zkladntextodsazen2"/>
        <w:numPr>
          <w:ilvl w:val="0"/>
          <w:numId w:val="5"/>
        </w:numPr>
        <w:tabs>
          <w:tab w:val="clear" w:pos="720"/>
        </w:tabs>
        <w:ind w:left="426" w:hanging="218"/>
        <w:rPr>
          <w:sz w:val="22"/>
          <w:szCs w:val="22"/>
        </w:rPr>
      </w:pPr>
      <w:r w:rsidRPr="00994FE3">
        <w:rPr>
          <w:sz w:val="22"/>
          <w:szCs w:val="22"/>
        </w:rPr>
        <w:t xml:space="preserve">V těch případech, kdy doba plnění je závislá na předchozím spolupůsobení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a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je včas, popřípadě řádně neposkytl, sjednají smluvní strany náhradní termín s tím, že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přijme na žádost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 dodatek ke smlouvě, kterým se sjedná nový termín plnění. V tomto případě nenese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odpovědnost za škodu.</w:t>
      </w:r>
    </w:p>
    <w:p w:rsidR="00C2767A" w:rsidRPr="00994FE3" w:rsidRDefault="00C2767A" w:rsidP="00D24A54">
      <w:pPr>
        <w:pStyle w:val="Odstavecseseznamem"/>
        <w:ind w:left="426" w:hanging="218"/>
        <w:rPr>
          <w:sz w:val="22"/>
          <w:szCs w:val="22"/>
        </w:rPr>
      </w:pPr>
    </w:p>
    <w:p w:rsidR="00C2767A" w:rsidRPr="00994FE3" w:rsidRDefault="00C2767A" w:rsidP="00D24A54">
      <w:pPr>
        <w:pStyle w:val="Zkladntextodsazen2"/>
        <w:numPr>
          <w:ilvl w:val="0"/>
          <w:numId w:val="5"/>
        </w:numPr>
        <w:tabs>
          <w:tab w:val="clear" w:pos="720"/>
        </w:tabs>
        <w:ind w:left="426" w:hanging="218"/>
        <w:rPr>
          <w:sz w:val="22"/>
          <w:szCs w:val="22"/>
        </w:rPr>
      </w:pPr>
      <w:r w:rsidRPr="00994FE3">
        <w:rPr>
          <w:sz w:val="22"/>
          <w:szCs w:val="22"/>
        </w:rPr>
        <w:t xml:space="preserve">Smluvní strany se dohodly na zahájení činnosti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 ihned po podpisu této smlouvy statutárními zástupci smluvních stran. </w:t>
      </w: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VIII. ODMĚN</w:t>
      </w:r>
      <w:r w:rsidRPr="00AC384D">
        <w:rPr>
          <w:b/>
          <w:sz w:val="22"/>
          <w:u w:val="single"/>
        </w:rPr>
        <w:t>A A PLATEBNÍ PODMÍNKY</w:t>
      </w:r>
    </w:p>
    <w:p w:rsidR="00C2767A" w:rsidRPr="00994FE3" w:rsidRDefault="00C2767A" w:rsidP="003E28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Smluvní strany se dohodly na </w:t>
      </w:r>
      <w:r>
        <w:rPr>
          <w:sz w:val="22"/>
          <w:szCs w:val="22"/>
        </w:rPr>
        <w:t>odměně</w:t>
      </w:r>
      <w:r w:rsidRPr="00994FE3">
        <w:rPr>
          <w:sz w:val="22"/>
          <w:szCs w:val="22"/>
        </w:rPr>
        <w:t xml:space="preserve"> za výkon zadavatelských činností dle čl. IV </w:t>
      </w:r>
    </w:p>
    <w:p w:rsidR="00C2767A" w:rsidRPr="00297128" w:rsidRDefault="00C2767A" w:rsidP="00E4247C">
      <w:pPr>
        <w:jc w:val="center"/>
        <w:rPr>
          <w:b/>
          <w:sz w:val="22"/>
          <w:szCs w:val="22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C2767A" w:rsidRPr="0063198F" w:rsidTr="00A85DBD">
        <w:tc>
          <w:tcPr>
            <w:tcW w:w="4606" w:type="dxa"/>
          </w:tcPr>
          <w:p w:rsidR="00C2767A" w:rsidRPr="00A85DBD" w:rsidRDefault="00C2767A" w:rsidP="00A85DBD">
            <w:pPr>
              <w:jc w:val="right"/>
              <w:rPr>
                <w:b/>
                <w:bCs/>
              </w:rPr>
            </w:pPr>
            <w:r w:rsidRPr="00A85DBD">
              <w:rPr>
                <w:b/>
                <w:bCs/>
                <w:sz w:val="22"/>
                <w:szCs w:val="22"/>
              </w:rPr>
              <w:t>50 000,-</w:t>
            </w:r>
          </w:p>
        </w:tc>
        <w:tc>
          <w:tcPr>
            <w:tcW w:w="4606" w:type="dxa"/>
          </w:tcPr>
          <w:p w:rsidR="00C2767A" w:rsidRPr="00A85DBD" w:rsidRDefault="00C2767A" w:rsidP="00297128">
            <w:pPr>
              <w:rPr>
                <w:b/>
                <w:bCs/>
              </w:rPr>
            </w:pPr>
            <w:r w:rsidRPr="00A85DBD">
              <w:rPr>
                <w:b/>
                <w:bCs/>
                <w:sz w:val="22"/>
                <w:szCs w:val="22"/>
              </w:rPr>
              <w:t>Kč bez DPH</w:t>
            </w:r>
          </w:p>
        </w:tc>
      </w:tr>
      <w:tr w:rsidR="00C2767A" w:rsidRPr="0063198F" w:rsidTr="00A85DBD">
        <w:tc>
          <w:tcPr>
            <w:tcW w:w="4606" w:type="dxa"/>
          </w:tcPr>
          <w:p w:rsidR="00C2767A" w:rsidRPr="00A85DBD" w:rsidRDefault="00C2767A" w:rsidP="00A85DBD">
            <w:pPr>
              <w:jc w:val="right"/>
              <w:rPr>
                <w:b/>
                <w:bCs/>
              </w:rPr>
            </w:pPr>
          </w:p>
        </w:tc>
        <w:tc>
          <w:tcPr>
            <w:tcW w:w="4606" w:type="dxa"/>
          </w:tcPr>
          <w:p w:rsidR="00C2767A" w:rsidRPr="00A85DBD" w:rsidRDefault="00C2767A" w:rsidP="00297128">
            <w:pPr>
              <w:rPr>
                <w:b/>
                <w:bCs/>
              </w:rPr>
            </w:pPr>
          </w:p>
        </w:tc>
      </w:tr>
      <w:tr w:rsidR="00C2767A" w:rsidRPr="0063198F" w:rsidTr="00A85DBD">
        <w:tc>
          <w:tcPr>
            <w:tcW w:w="9212" w:type="dxa"/>
            <w:gridSpan w:val="2"/>
          </w:tcPr>
          <w:p w:rsidR="00C2767A" w:rsidRPr="00A85DBD" w:rsidRDefault="00C2767A" w:rsidP="00A85DBD">
            <w:pPr>
              <w:jc w:val="center"/>
              <w:rPr>
                <w:b/>
                <w:bCs/>
              </w:rPr>
            </w:pPr>
            <w:r w:rsidRPr="00A85DBD">
              <w:rPr>
                <w:b/>
                <w:bCs/>
                <w:sz w:val="22"/>
                <w:szCs w:val="22"/>
              </w:rPr>
              <w:t>slovy padesát tisíc korun českých</w:t>
            </w:r>
          </w:p>
        </w:tc>
      </w:tr>
    </w:tbl>
    <w:p w:rsidR="00C2767A" w:rsidRPr="0063198F" w:rsidRDefault="00C2767A" w:rsidP="00551A73">
      <w:pPr>
        <w:pStyle w:val="Odstavecseseznamem"/>
        <w:ind w:left="720" w:hanging="294"/>
        <w:rPr>
          <w:b/>
          <w:bCs/>
          <w:sz w:val="22"/>
          <w:szCs w:val="22"/>
        </w:rPr>
      </w:pPr>
    </w:p>
    <w:p w:rsidR="00C2767A" w:rsidRDefault="00C2767A" w:rsidP="003D7B9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01CF">
        <w:rPr>
          <w:sz w:val="22"/>
          <w:szCs w:val="22"/>
        </w:rPr>
        <w:t xml:space="preserve">Takto sjednaná odměna bude fakturována Příkazníkem a uhrazena Příkazcem ve lhůtě dle odst. </w:t>
      </w:r>
      <w:r w:rsidR="004E7345">
        <w:rPr>
          <w:sz w:val="22"/>
          <w:szCs w:val="22"/>
        </w:rPr>
        <w:t xml:space="preserve">6 nebo </w:t>
      </w:r>
      <w:r>
        <w:rPr>
          <w:sz w:val="22"/>
          <w:szCs w:val="22"/>
        </w:rPr>
        <w:t>7</w:t>
      </w:r>
      <w:r w:rsidR="004E7345">
        <w:rPr>
          <w:sz w:val="22"/>
          <w:szCs w:val="22"/>
        </w:rPr>
        <w:t>.</w:t>
      </w:r>
    </w:p>
    <w:p w:rsidR="004E7345" w:rsidRDefault="004E7345" w:rsidP="004E7345">
      <w:pPr>
        <w:ind w:left="360"/>
        <w:jc w:val="both"/>
        <w:rPr>
          <w:sz w:val="22"/>
          <w:szCs w:val="22"/>
        </w:rPr>
      </w:pPr>
    </w:p>
    <w:p w:rsidR="00C2767A" w:rsidRPr="004E7345" w:rsidRDefault="00C2767A" w:rsidP="004E734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E7345">
        <w:rPr>
          <w:sz w:val="22"/>
          <w:szCs w:val="22"/>
        </w:rPr>
        <w:t xml:space="preserve">Nevyplývá-li z dále uvedeného jinak, představuje takto dohodnutá odměna úplné a konečné vyrovnání za služby a činnosti prováděné Příkazníkem podle této smlouvy. </w:t>
      </w:r>
      <w:r w:rsidR="004E7345" w:rsidRPr="004E7345">
        <w:rPr>
          <w:sz w:val="22"/>
          <w:szCs w:val="22"/>
        </w:rPr>
        <w:t>Odměna příkazníka je sjednána jako pevná a nepřekročitelná a zahrnuje též náklady na cestovné ze sídla příkazníka do sídla příkazce a zpět včetně veškerých dalších nákladů nezbytných pro naplnění účelu této smlouvy, kterým je zajištění realizace zadávacího řízení v souladu se zákonem č. 134/2016 Sb., o zadávání veřejných zakázek ve změní změn a doplnění.</w:t>
      </w:r>
    </w:p>
    <w:p w:rsidR="00C2767A" w:rsidRPr="00994FE3" w:rsidRDefault="00C2767A" w:rsidP="00112F88">
      <w:pPr>
        <w:jc w:val="both"/>
        <w:rPr>
          <w:sz w:val="22"/>
          <w:szCs w:val="22"/>
        </w:rPr>
      </w:pPr>
    </w:p>
    <w:p w:rsidR="00C2767A" w:rsidRPr="000A0D10" w:rsidRDefault="00C2767A" w:rsidP="00407D0E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94FE3">
        <w:rPr>
          <w:sz w:val="22"/>
          <w:szCs w:val="22"/>
        </w:rPr>
        <w:t>Pokud dojde v </w:t>
      </w:r>
      <w:r w:rsidRPr="000A0D10">
        <w:rPr>
          <w:sz w:val="22"/>
          <w:szCs w:val="22"/>
        </w:rPr>
        <w:t xml:space="preserve">průběhu </w:t>
      </w:r>
      <w:r>
        <w:rPr>
          <w:sz w:val="22"/>
          <w:szCs w:val="22"/>
        </w:rPr>
        <w:t>výběrové</w:t>
      </w:r>
      <w:r w:rsidRPr="000A0D10">
        <w:rPr>
          <w:sz w:val="22"/>
          <w:szCs w:val="22"/>
        </w:rPr>
        <w:t>ho řízení na pokyn Příkazce nebo zaviněním Příkazce ke změnám již stanovených a oznámených lhůt nebo termínů konání úkonů v</w:t>
      </w:r>
      <w:r>
        <w:rPr>
          <w:sz w:val="22"/>
          <w:szCs w:val="22"/>
        </w:rPr>
        <w:t>e</w:t>
      </w:r>
      <w:r w:rsidRPr="000A0D10">
        <w:rPr>
          <w:sz w:val="22"/>
          <w:szCs w:val="22"/>
        </w:rPr>
        <w:t> </w:t>
      </w:r>
      <w:r>
        <w:rPr>
          <w:sz w:val="22"/>
          <w:szCs w:val="22"/>
        </w:rPr>
        <w:t>výběrové</w:t>
      </w:r>
      <w:r w:rsidRPr="000A0D10">
        <w:rPr>
          <w:sz w:val="22"/>
          <w:szCs w:val="22"/>
        </w:rPr>
        <w:t xml:space="preserve">m řízení, bude dohodnutá </w:t>
      </w:r>
      <w:r>
        <w:rPr>
          <w:sz w:val="22"/>
          <w:szCs w:val="22"/>
        </w:rPr>
        <w:t>odměna</w:t>
      </w:r>
      <w:r w:rsidRPr="000A0D10">
        <w:rPr>
          <w:sz w:val="22"/>
          <w:szCs w:val="22"/>
        </w:rPr>
        <w:t xml:space="preserve"> za výkon zadavatelských činností uvedená v článku VIII. </w:t>
      </w:r>
      <w:r>
        <w:rPr>
          <w:sz w:val="22"/>
          <w:szCs w:val="22"/>
        </w:rPr>
        <w:t>odst. 1 této smlouvy navýšena o </w:t>
      </w:r>
      <w:r w:rsidRPr="000A0D10">
        <w:rPr>
          <w:sz w:val="22"/>
          <w:szCs w:val="22"/>
        </w:rPr>
        <w:t>částku 5.000,- Kč za každou takovouto změnu.</w:t>
      </w:r>
    </w:p>
    <w:p w:rsidR="00C2767A" w:rsidRPr="00994FE3" w:rsidRDefault="00C2767A" w:rsidP="006C7C53">
      <w:pPr>
        <w:ind w:left="360"/>
        <w:jc w:val="both"/>
        <w:rPr>
          <w:sz w:val="22"/>
          <w:szCs w:val="22"/>
        </w:rPr>
      </w:pPr>
    </w:p>
    <w:p w:rsidR="00C2767A" w:rsidRPr="005B6165" w:rsidRDefault="00C2767A" w:rsidP="00F95FA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B6165">
        <w:rPr>
          <w:sz w:val="22"/>
          <w:szCs w:val="22"/>
        </w:rPr>
        <w:t>Faktura (daňový doklad) musí mít náležitosti vyplývající z obecně závazných předpisů, tj. které jsou stanoveny zákonem o DPH</w:t>
      </w:r>
      <w:r>
        <w:rPr>
          <w:sz w:val="22"/>
          <w:szCs w:val="22"/>
        </w:rPr>
        <w:t xml:space="preserve"> </w:t>
      </w:r>
      <w:r w:rsidRPr="005B6165">
        <w:rPr>
          <w:sz w:val="22"/>
          <w:szCs w:val="22"/>
        </w:rPr>
        <w:t>v platném znění. Faktura (daňový doklad) musí mít náležitosti vyplývající z obecně závazných předpisů, tj. které jsou stanoveny zákonem o DPH v platném znění.</w:t>
      </w:r>
    </w:p>
    <w:p w:rsidR="00C2767A" w:rsidRPr="005B6165" w:rsidRDefault="00C2767A" w:rsidP="005B6165">
      <w:pPr>
        <w:jc w:val="both"/>
        <w:rPr>
          <w:sz w:val="22"/>
          <w:szCs w:val="22"/>
        </w:rPr>
      </w:pPr>
    </w:p>
    <w:p w:rsidR="00C2767A" w:rsidRPr="00FA3524" w:rsidRDefault="00C2767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B6165">
        <w:rPr>
          <w:sz w:val="22"/>
          <w:szCs w:val="22"/>
        </w:rPr>
        <w:t>Smluvní strany se dohodly na lhůtě splatnosti daňových dokladů v</w:t>
      </w:r>
      <w:r>
        <w:rPr>
          <w:sz w:val="22"/>
          <w:szCs w:val="22"/>
        </w:rPr>
        <w:t> </w:t>
      </w:r>
      <w:r w:rsidRPr="005B6165">
        <w:rPr>
          <w:sz w:val="22"/>
          <w:szCs w:val="22"/>
        </w:rPr>
        <w:t>délce</w:t>
      </w:r>
      <w:r>
        <w:rPr>
          <w:sz w:val="22"/>
          <w:szCs w:val="22"/>
        </w:rPr>
        <w:t xml:space="preserve"> do 30</w:t>
      </w:r>
      <w:r w:rsidRPr="005B6165">
        <w:rPr>
          <w:sz w:val="22"/>
          <w:szCs w:val="22"/>
        </w:rPr>
        <w:t xml:space="preserve"> dnů ode dne vystavení</w:t>
      </w:r>
      <w:r w:rsidRPr="00FA3524">
        <w:rPr>
          <w:sz w:val="22"/>
          <w:szCs w:val="22"/>
        </w:rPr>
        <w:t xml:space="preserve"> Příkazníkem s tím, že:  </w:t>
      </w:r>
    </w:p>
    <w:p w:rsidR="00C2767A" w:rsidRPr="00FA3524" w:rsidRDefault="00C2767A" w:rsidP="0099481F">
      <w:pPr>
        <w:numPr>
          <w:ilvl w:val="0"/>
          <w:numId w:val="36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 xml:space="preserve">dílčí zdanitelné plnění je dnem uveřejnění </w:t>
      </w:r>
      <w:r>
        <w:rPr>
          <w:sz w:val="22"/>
          <w:szCs w:val="22"/>
        </w:rPr>
        <w:t>výzva na webu Příkazce</w:t>
      </w:r>
      <w:r w:rsidRPr="00FA3524">
        <w:rPr>
          <w:sz w:val="22"/>
          <w:szCs w:val="22"/>
        </w:rPr>
        <w:t>. Daňový doklad bude vystaven na 50% dohodnuté odměny (bez DPH),</w:t>
      </w:r>
    </w:p>
    <w:p w:rsidR="00C2767A" w:rsidRPr="00FA3524" w:rsidRDefault="00C2767A" w:rsidP="0099481F">
      <w:pPr>
        <w:numPr>
          <w:ilvl w:val="0"/>
          <w:numId w:val="36"/>
        </w:numPr>
        <w:rPr>
          <w:sz w:val="22"/>
          <w:szCs w:val="22"/>
        </w:rPr>
      </w:pPr>
      <w:r w:rsidRPr="00FA3524">
        <w:rPr>
          <w:sz w:val="22"/>
          <w:szCs w:val="22"/>
        </w:rPr>
        <w:t>dílčí zdanitelné plnění je dnem ot</w:t>
      </w:r>
      <w:r>
        <w:rPr>
          <w:sz w:val="22"/>
          <w:szCs w:val="22"/>
        </w:rPr>
        <w:t>e</w:t>
      </w:r>
      <w:r w:rsidRPr="00FA3524">
        <w:rPr>
          <w:sz w:val="22"/>
          <w:szCs w:val="22"/>
        </w:rPr>
        <w:t>vírání obálek s nabídkami. Daňový doklad bude vystaven na 25 % dohodnuté odměny (bez DPH),</w:t>
      </w:r>
    </w:p>
    <w:p w:rsidR="00C2767A" w:rsidRPr="00FA3524" w:rsidRDefault="00C2767A" w:rsidP="0099481F">
      <w:pPr>
        <w:numPr>
          <w:ilvl w:val="0"/>
          <w:numId w:val="36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>dílčí zdanitelné plnění je dnem protokolárního předání a převzetí dokumentace  zakázky. Daňový doklad bude vystaven na 25 % dohodnuté odměny (bez DPH).</w:t>
      </w:r>
    </w:p>
    <w:p w:rsidR="00C2767A" w:rsidRPr="00FA3524" w:rsidRDefault="00C2767A">
      <w:pPr>
        <w:ind w:left="360"/>
        <w:jc w:val="both"/>
        <w:rPr>
          <w:sz w:val="22"/>
          <w:szCs w:val="22"/>
        </w:rPr>
      </w:pPr>
    </w:p>
    <w:p w:rsidR="00C2767A" w:rsidRPr="00FA3524" w:rsidRDefault="00C2767A" w:rsidP="00C511DB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A3524">
        <w:rPr>
          <w:sz w:val="22"/>
          <w:szCs w:val="22"/>
        </w:rPr>
        <w:lastRenderedPageBreak/>
        <w:t xml:space="preserve">Pokud z jakéhokoli důvodu na straně Příkazce bude </w:t>
      </w:r>
      <w:r>
        <w:rPr>
          <w:sz w:val="22"/>
          <w:szCs w:val="22"/>
        </w:rPr>
        <w:t>výběrové</w:t>
      </w:r>
      <w:r w:rsidRPr="00FA3524">
        <w:rPr>
          <w:sz w:val="22"/>
          <w:szCs w:val="22"/>
        </w:rPr>
        <w:t xml:space="preserve"> řízení zrušeno rozhodnutím Příkazce, má Příkazník právo na úhradu části sjednané odměny:</w:t>
      </w:r>
    </w:p>
    <w:p w:rsidR="00C2767A" w:rsidRPr="00FA3524" w:rsidRDefault="00C2767A" w:rsidP="008930FB">
      <w:pPr>
        <w:numPr>
          <w:ilvl w:val="0"/>
          <w:numId w:val="39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 xml:space="preserve">při rozhodnutí o zrušení </w:t>
      </w:r>
      <w:r>
        <w:rPr>
          <w:sz w:val="22"/>
          <w:szCs w:val="22"/>
        </w:rPr>
        <w:t>výběrové</w:t>
      </w:r>
      <w:r w:rsidRPr="00FA3524">
        <w:rPr>
          <w:sz w:val="22"/>
          <w:szCs w:val="22"/>
        </w:rPr>
        <w:t xml:space="preserve">ho řízení před jeho zahájením ve výši </w:t>
      </w:r>
      <w:r>
        <w:rPr>
          <w:sz w:val="22"/>
          <w:szCs w:val="22"/>
        </w:rPr>
        <w:t>4</w:t>
      </w:r>
      <w:r w:rsidRPr="00FA3524">
        <w:rPr>
          <w:sz w:val="22"/>
          <w:szCs w:val="22"/>
        </w:rPr>
        <w:t>0 % ze sjednané odměny</w:t>
      </w:r>
    </w:p>
    <w:p w:rsidR="00C2767A" w:rsidRPr="00FA3524" w:rsidRDefault="00C2767A" w:rsidP="008930FB">
      <w:pPr>
        <w:numPr>
          <w:ilvl w:val="0"/>
          <w:numId w:val="39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 xml:space="preserve">při rozhodnutí o zrušení </w:t>
      </w:r>
      <w:r>
        <w:rPr>
          <w:sz w:val="22"/>
          <w:szCs w:val="22"/>
        </w:rPr>
        <w:t>výběrové</w:t>
      </w:r>
      <w:r w:rsidRPr="00FA3524">
        <w:rPr>
          <w:sz w:val="22"/>
          <w:szCs w:val="22"/>
        </w:rPr>
        <w:t>ho řízení v průběhu lhůty pro podání nabídek, tj. do okamžiku otevírání obálek s nabídkami ve výši 50 % ze sjednané odměny</w:t>
      </w:r>
    </w:p>
    <w:p w:rsidR="00C2767A" w:rsidRPr="00FA3524" w:rsidRDefault="00C2767A" w:rsidP="008930FB">
      <w:pPr>
        <w:numPr>
          <w:ilvl w:val="0"/>
          <w:numId w:val="39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 xml:space="preserve">při rozhodnutí o zrušení </w:t>
      </w:r>
      <w:r>
        <w:rPr>
          <w:sz w:val="22"/>
          <w:szCs w:val="22"/>
        </w:rPr>
        <w:t>výběrové</w:t>
      </w:r>
      <w:r w:rsidRPr="00FA3524">
        <w:rPr>
          <w:sz w:val="22"/>
          <w:szCs w:val="22"/>
        </w:rPr>
        <w:t>ho řízení okamžikem otevírání obálek s nabídkami, ale před 1. posouzením a hodnocením nabídek (prvním jednáním hodnotící komise, která posuzuje a hodnotí nabídky) ve výši 75 % ze sjednané odměny</w:t>
      </w:r>
    </w:p>
    <w:p w:rsidR="00C2767A" w:rsidRPr="00FA3524" w:rsidRDefault="00C2767A" w:rsidP="008930FB">
      <w:pPr>
        <w:numPr>
          <w:ilvl w:val="0"/>
          <w:numId w:val="39"/>
        </w:numPr>
        <w:jc w:val="both"/>
        <w:rPr>
          <w:sz w:val="22"/>
          <w:szCs w:val="22"/>
        </w:rPr>
      </w:pPr>
      <w:r w:rsidRPr="00FA3524">
        <w:rPr>
          <w:sz w:val="22"/>
          <w:szCs w:val="22"/>
        </w:rPr>
        <w:t xml:space="preserve">při rozhodnutí o zrušení </w:t>
      </w:r>
      <w:r>
        <w:rPr>
          <w:sz w:val="22"/>
          <w:szCs w:val="22"/>
        </w:rPr>
        <w:t>výběrové</w:t>
      </w:r>
      <w:r w:rsidRPr="00FA3524">
        <w:rPr>
          <w:sz w:val="22"/>
          <w:szCs w:val="22"/>
        </w:rPr>
        <w:t>ho řízení po posouzení a hodnocení nabídek ve výši 90 % ze sjednané odměny.</w:t>
      </w:r>
    </w:p>
    <w:p w:rsidR="00C2767A" w:rsidRPr="00994FE3" w:rsidRDefault="00C2767A">
      <w:pPr>
        <w:rPr>
          <w:sz w:val="22"/>
          <w:szCs w:val="22"/>
        </w:rPr>
      </w:pPr>
    </w:p>
    <w:p w:rsidR="00C2767A" w:rsidRPr="00994FE3" w:rsidRDefault="00C2767A" w:rsidP="003016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 případě nezaplacení řádně vystavené faktury </w:t>
      </w:r>
      <w:r>
        <w:rPr>
          <w:sz w:val="22"/>
          <w:szCs w:val="22"/>
        </w:rPr>
        <w:t>Příkazcem</w:t>
      </w:r>
      <w:r w:rsidRPr="00994FE3">
        <w:rPr>
          <w:sz w:val="22"/>
          <w:szCs w:val="22"/>
        </w:rPr>
        <w:t xml:space="preserve"> v termínu splatnosti má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právo účtovat úrok z prodlení ve výši 0,03% z dlužné částky za každý den prodlení.</w:t>
      </w: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C384D">
        <w:rPr>
          <w:b/>
          <w:sz w:val="22"/>
          <w:u w:val="single"/>
        </w:rPr>
        <w:t xml:space="preserve">IX. ODPOVĚDNOST PŘÍKAZNÍKA </w:t>
      </w:r>
    </w:p>
    <w:p w:rsidR="00C2767A" w:rsidRDefault="00C2767A" w:rsidP="00D24894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odpovídá za řádné, včasné a kvalitní provádění činnosti</w:t>
      </w:r>
      <w:r>
        <w:rPr>
          <w:sz w:val="22"/>
          <w:szCs w:val="22"/>
        </w:rPr>
        <w:t xml:space="preserve"> vyplývající z této smlouvy v</w:t>
      </w:r>
      <w:r w:rsidRPr="00994FE3">
        <w:rPr>
          <w:sz w:val="22"/>
          <w:szCs w:val="22"/>
        </w:rPr>
        <w:t xml:space="preserve"> rozsahu stanoveném příslušnými ustanoveními </w:t>
      </w:r>
      <w:r>
        <w:rPr>
          <w:sz w:val="22"/>
          <w:szCs w:val="22"/>
        </w:rPr>
        <w:t xml:space="preserve">občanského </w:t>
      </w:r>
      <w:r w:rsidRPr="00994FE3">
        <w:rPr>
          <w:sz w:val="22"/>
          <w:szCs w:val="22"/>
        </w:rPr>
        <w:t xml:space="preserve">zákoníku a touto smlouvou. </w:t>
      </w:r>
    </w:p>
    <w:p w:rsidR="00C2767A" w:rsidRDefault="00C2767A" w:rsidP="00D24894">
      <w:pPr>
        <w:ind w:left="360"/>
        <w:jc w:val="both"/>
        <w:rPr>
          <w:sz w:val="22"/>
          <w:szCs w:val="22"/>
        </w:rPr>
      </w:pPr>
    </w:p>
    <w:p w:rsidR="00C2767A" w:rsidRDefault="00C2767A" w:rsidP="00D24894">
      <w:pPr>
        <w:numPr>
          <w:ilvl w:val="0"/>
          <w:numId w:val="7"/>
        </w:numPr>
        <w:jc w:val="both"/>
        <w:rPr>
          <w:sz w:val="22"/>
          <w:szCs w:val="22"/>
        </w:rPr>
      </w:pPr>
      <w:r w:rsidRPr="00D24894">
        <w:rPr>
          <w:sz w:val="22"/>
          <w:szCs w:val="22"/>
        </w:rPr>
        <w:t xml:space="preserve">Příkazník zejména odpovídá za včasné a řádné předložení a projednání veškerých dokladů, které přísluší Příkazci – zadavateli projednat, rozhodnout, podepsat a zaslat </w:t>
      </w:r>
      <w:r>
        <w:rPr>
          <w:sz w:val="22"/>
          <w:szCs w:val="22"/>
        </w:rPr>
        <w:t>dodavatelům/účastníkům</w:t>
      </w:r>
      <w:r w:rsidRPr="00D24894">
        <w:rPr>
          <w:sz w:val="22"/>
          <w:szCs w:val="22"/>
        </w:rPr>
        <w:t>.</w:t>
      </w:r>
    </w:p>
    <w:p w:rsidR="00C2767A" w:rsidRDefault="00C2767A" w:rsidP="00D24894">
      <w:pPr>
        <w:pStyle w:val="Odstavecseseznamem"/>
        <w:rPr>
          <w:sz w:val="22"/>
          <w:szCs w:val="22"/>
        </w:rPr>
      </w:pPr>
    </w:p>
    <w:p w:rsidR="00C2767A" w:rsidRPr="00D24894" w:rsidRDefault="00C2767A" w:rsidP="00D24894">
      <w:pPr>
        <w:numPr>
          <w:ilvl w:val="0"/>
          <w:numId w:val="7"/>
        </w:numPr>
        <w:jc w:val="both"/>
        <w:rPr>
          <w:sz w:val="22"/>
          <w:szCs w:val="22"/>
        </w:rPr>
      </w:pPr>
      <w:r w:rsidRPr="00D24894">
        <w:rPr>
          <w:sz w:val="22"/>
          <w:szCs w:val="22"/>
        </w:rPr>
        <w:t>Příkazník nezodpovídá za škody způsobené vyšší mocí. Pro účely této smlouvy se za vyšší moc považují případy, které nastanou po nabytí platnosti této smlouvy a které nemohly být ani Příkazcem ani Příkazníkem objektivně předvídány nebo odvráceny a které nejsou na nich závislé a ani je nemohou smluvní strany ovlivnit. Při posuzování odpovědnosti za škody a jejich náhrad bude postupováno podle příslušných ustanovení občanského zákoníku.</w:t>
      </w:r>
    </w:p>
    <w:p w:rsidR="00C2767A" w:rsidRPr="00994FE3" w:rsidRDefault="00C2767A">
      <w:pPr>
        <w:ind w:left="283"/>
        <w:jc w:val="both"/>
        <w:rPr>
          <w:sz w:val="22"/>
          <w:szCs w:val="22"/>
        </w:rPr>
      </w:pPr>
    </w:p>
    <w:p w:rsidR="00C2767A" w:rsidRPr="00994FE3" w:rsidRDefault="00C2767A" w:rsidP="003D7B92">
      <w:pPr>
        <w:pStyle w:val="Textzkladn"/>
        <w:numPr>
          <w:ilvl w:val="0"/>
          <w:numId w:val="7"/>
        </w:numPr>
        <w:tabs>
          <w:tab w:val="left" w:pos="3544"/>
        </w:tabs>
        <w:spacing w:after="0"/>
        <w:rPr>
          <w:sz w:val="22"/>
          <w:szCs w:val="22"/>
        </w:rPr>
      </w:pPr>
      <w:r w:rsidRPr="00994FE3">
        <w:rPr>
          <w:sz w:val="22"/>
          <w:szCs w:val="22"/>
        </w:rPr>
        <w:t xml:space="preserve">V případě, že prokazatelnou vinou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 nebude dosaženo účelu této smlouvy, tj. uzavření smlouvy s vybraným </w:t>
      </w:r>
      <w:r>
        <w:rPr>
          <w:sz w:val="22"/>
          <w:szCs w:val="22"/>
        </w:rPr>
        <w:t>dodavatelem,</w:t>
      </w:r>
      <w:r w:rsidRPr="00994FE3">
        <w:rPr>
          <w:sz w:val="22"/>
          <w:szCs w:val="22"/>
        </w:rPr>
        <w:t xml:space="preserve"> zavazuje se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1x bezplatně provést </w:t>
      </w:r>
      <w:r>
        <w:rPr>
          <w:sz w:val="22"/>
          <w:szCs w:val="22"/>
        </w:rPr>
        <w:t>výběrové</w:t>
      </w:r>
      <w:r w:rsidRPr="00994FE3">
        <w:rPr>
          <w:sz w:val="22"/>
          <w:szCs w:val="22"/>
        </w:rPr>
        <w:t xml:space="preserve"> řízení na  zakázku uvedenou v čl. IV. této smlouvy.</w:t>
      </w:r>
    </w:p>
    <w:p w:rsidR="00C2767A" w:rsidRPr="00994FE3" w:rsidRDefault="00C2767A">
      <w:pPr>
        <w:ind w:left="283"/>
        <w:jc w:val="both"/>
        <w:rPr>
          <w:sz w:val="22"/>
          <w:szCs w:val="22"/>
        </w:rPr>
      </w:pPr>
    </w:p>
    <w:p w:rsidR="00C2767A" w:rsidRDefault="00C2767A" w:rsidP="00553ADC">
      <w:pPr>
        <w:pStyle w:val="Textzkladn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má uzavřenou pojistnou smlouvou na odpovědnost za škodu na pojistnou částku 10 mil</w:t>
      </w:r>
      <w:r>
        <w:rPr>
          <w:sz w:val="22"/>
          <w:szCs w:val="22"/>
        </w:rPr>
        <w:t>.</w:t>
      </w:r>
      <w:r w:rsidRPr="00994FE3">
        <w:rPr>
          <w:sz w:val="22"/>
          <w:szCs w:val="22"/>
        </w:rPr>
        <w:t xml:space="preserve"> Kč u pojišťovny UNIQA pojišťovna a.s. a </w:t>
      </w:r>
      <w:r>
        <w:rPr>
          <w:sz w:val="22"/>
          <w:szCs w:val="22"/>
        </w:rPr>
        <w:t>dále</w:t>
      </w:r>
      <w:r w:rsidRPr="00994FE3">
        <w:rPr>
          <w:sz w:val="22"/>
          <w:szCs w:val="22"/>
        </w:rPr>
        <w:t xml:space="preserve"> je pojištěn na odpovědnost za finanční škodu.</w:t>
      </w:r>
    </w:p>
    <w:p w:rsidR="004E7345" w:rsidRDefault="004E7345" w:rsidP="004E7345">
      <w:pPr>
        <w:pStyle w:val="Odstavecseseznamem"/>
        <w:rPr>
          <w:sz w:val="22"/>
          <w:szCs w:val="22"/>
        </w:rPr>
      </w:pPr>
    </w:p>
    <w:p w:rsidR="004E7345" w:rsidRPr="004E7345" w:rsidRDefault="004E7345" w:rsidP="004E7345">
      <w:pPr>
        <w:pStyle w:val="Textzkladn"/>
        <w:numPr>
          <w:ilvl w:val="0"/>
          <w:numId w:val="7"/>
        </w:numPr>
        <w:rPr>
          <w:sz w:val="22"/>
          <w:szCs w:val="22"/>
        </w:rPr>
      </w:pPr>
      <w:r w:rsidRPr="004E7345">
        <w:rPr>
          <w:sz w:val="22"/>
          <w:szCs w:val="22"/>
        </w:rPr>
        <w:t xml:space="preserve">Příkazník odpovídá příkazci za to, že jeho závazek dle této smlouvy a jeho výsledky budou provedeny podle podmínek stanovených touto smlouvou, a poskytuje příkazci záruku za řádný výkon své činnosti dle této smlouvy a její výsledky po celou dobu záruční lhůty, která se sjednává po dobu 2 let od uskutečnění posledního právního jednání příkazníka dle této smlouvy. </w:t>
      </w:r>
    </w:p>
    <w:p w:rsidR="004E7345" w:rsidRPr="004E7345" w:rsidRDefault="004E7345" w:rsidP="004E7345">
      <w:pPr>
        <w:pStyle w:val="Textzkladn"/>
        <w:numPr>
          <w:ilvl w:val="0"/>
          <w:numId w:val="7"/>
        </w:numPr>
        <w:rPr>
          <w:sz w:val="22"/>
          <w:szCs w:val="22"/>
        </w:rPr>
      </w:pPr>
      <w:r w:rsidRPr="004E7345">
        <w:rPr>
          <w:sz w:val="22"/>
          <w:szCs w:val="22"/>
        </w:rPr>
        <w:t xml:space="preserve">Příkazník neodpovídá příkazci za vady, které byly způsobeny použitím vadných podkladů, informací nebo pokynů, předaných příkazcem příkazníkovi, pokud příkazník příkazce na jejich vadnost upozornil a příkazce na jejich použití přesto trval. </w:t>
      </w: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X. </w:t>
      </w:r>
      <w:r w:rsidRPr="00AC384D">
        <w:rPr>
          <w:b/>
          <w:sz w:val="22"/>
          <w:u w:val="single"/>
        </w:rPr>
        <w:t xml:space="preserve">ODSTOUPENÍ OD SMLOUVY </w:t>
      </w:r>
    </w:p>
    <w:p w:rsidR="00C2767A" w:rsidRPr="00994FE3" w:rsidRDefault="00C2767A">
      <w:pPr>
        <w:numPr>
          <w:ilvl w:val="0"/>
          <w:numId w:val="8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Vedle možnosti odstoupení vyplývající ze zákona je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oprávněn odstoupit od této smlouvy, jestliže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poruší smlouvu podstatným způsobem, tj. nevykonává-li činnosti dle této smlouvy a nesjedná nápravu ani po písemném upozornění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na možnost odstoupení od smlouvy a dále v případě, že rozhodne o zrušení </w:t>
      </w:r>
      <w:r>
        <w:rPr>
          <w:sz w:val="22"/>
          <w:szCs w:val="22"/>
        </w:rPr>
        <w:t>výběrové</w:t>
      </w:r>
      <w:r w:rsidRPr="00994FE3">
        <w:rPr>
          <w:sz w:val="22"/>
          <w:szCs w:val="22"/>
        </w:rPr>
        <w:t xml:space="preserve">ho řízení. 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8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Vedle možnosti odstoupení vyplývající ze zákona je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oprávněn odstoupit od smlouvy v následujících případech: </w:t>
      </w:r>
    </w:p>
    <w:p w:rsidR="00C2767A" w:rsidRPr="00994FE3" w:rsidRDefault="00C2767A" w:rsidP="003D7B92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94FE3">
        <w:rPr>
          <w:sz w:val="22"/>
          <w:szCs w:val="22"/>
        </w:rPr>
        <w:lastRenderedPageBreak/>
        <w:t xml:space="preserve">kdy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odepře </w:t>
      </w:r>
      <w:r>
        <w:rPr>
          <w:sz w:val="22"/>
          <w:szCs w:val="22"/>
        </w:rPr>
        <w:t>Příkazníkovi</w:t>
      </w:r>
      <w:r w:rsidRPr="00994FE3">
        <w:rPr>
          <w:sz w:val="22"/>
          <w:szCs w:val="22"/>
        </w:rPr>
        <w:t xml:space="preserve"> poskytnout dohodnuté spolupůsobení, bez něhož nelze     </w:t>
      </w:r>
    </w:p>
    <w:p w:rsidR="00C2767A" w:rsidRPr="00994FE3" w:rsidRDefault="00C2767A" w:rsidP="003D7B92">
      <w:pPr>
        <w:pStyle w:val="Odstavecseseznamem"/>
        <w:ind w:left="720"/>
        <w:rPr>
          <w:sz w:val="22"/>
          <w:szCs w:val="22"/>
        </w:rPr>
      </w:pPr>
      <w:r w:rsidRPr="00994FE3">
        <w:rPr>
          <w:sz w:val="22"/>
          <w:szCs w:val="22"/>
        </w:rPr>
        <w:t>řádně vykonat dohodnuté obstarání záležitostí, přestože byl na možnost odstoupení písemně upozorněn</w:t>
      </w:r>
    </w:p>
    <w:p w:rsidR="00C2767A" w:rsidRPr="00994FE3" w:rsidRDefault="00C2767A" w:rsidP="003D7B92">
      <w:pPr>
        <w:numPr>
          <w:ilvl w:val="0"/>
          <w:numId w:val="33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kdy přerušení činností na základě rozhodnutí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trvá déle než 1 měsíc.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8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Odstoupení je platné a účinné ke dni doručení oznámení o odstoupení.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je však povinen uskutečnit, resp. dokončit nezbytné úkony, jejichž neuskutečnění by mohlo znamenat vznik škody na straně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. 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má nárok na odpovídající část sjednané </w:t>
      </w:r>
      <w:r>
        <w:rPr>
          <w:sz w:val="22"/>
          <w:szCs w:val="22"/>
        </w:rPr>
        <w:t>odměny</w:t>
      </w:r>
      <w:r w:rsidRPr="00994FE3">
        <w:rPr>
          <w:sz w:val="22"/>
          <w:szCs w:val="22"/>
        </w:rPr>
        <w:t xml:space="preserve">, odpovídající řádně provedeným činnostem a službám dle čl. VIII odst. </w:t>
      </w:r>
      <w:r>
        <w:rPr>
          <w:sz w:val="22"/>
          <w:szCs w:val="22"/>
        </w:rPr>
        <w:t>7</w:t>
      </w:r>
      <w:r w:rsidRPr="00994FE3">
        <w:rPr>
          <w:sz w:val="22"/>
          <w:szCs w:val="22"/>
        </w:rPr>
        <w:t xml:space="preserve"> této smlouvy.   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Default="00C2767A" w:rsidP="009170CE">
      <w:pPr>
        <w:numPr>
          <w:ilvl w:val="0"/>
          <w:numId w:val="8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 případě odstoupení od této smlouvy dle odst. 1 a odst. 2 připraví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nejpozději do 10 dnů ode dne účinnosti odstoupení celkové vyúčtování činností</w:t>
      </w:r>
      <w:r>
        <w:rPr>
          <w:sz w:val="22"/>
          <w:szCs w:val="22"/>
        </w:rPr>
        <w:t xml:space="preserve"> vyplývajících z  příkazní smlouvy</w:t>
      </w:r>
      <w:r w:rsidRPr="00994FE3">
        <w:rPr>
          <w:sz w:val="22"/>
          <w:szCs w:val="22"/>
        </w:rPr>
        <w:t xml:space="preserve">, včetně všech dokladů, které pro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získal. Všechny tyto doklady předá v uvedené lhůtě </w:t>
      </w:r>
      <w:r>
        <w:rPr>
          <w:sz w:val="22"/>
          <w:szCs w:val="22"/>
        </w:rPr>
        <w:t>Příkazci</w:t>
      </w:r>
      <w:r w:rsidRPr="00994FE3">
        <w:rPr>
          <w:sz w:val="22"/>
          <w:szCs w:val="22"/>
        </w:rPr>
        <w:t xml:space="preserve">. </w:t>
      </w: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XI. </w:t>
      </w:r>
      <w:r w:rsidRPr="00AC384D">
        <w:rPr>
          <w:b/>
          <w:sz w:val="22"/>
          <w:u w:val="single"/>
        </w:rPr>
        <w:t xml:space="preserve">ZÁVĚREČNÁ USTANOVENÍ </w:t>
      </w: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Obsah této </w:t>
      </w:r>
      <w:r>
        <w:rPr>
          <w:sz w:val="22"/>
          <w:szCs w:val="22"/>
        </w:rPr>
        <w:t xml:space="preserve">příkazní </w:t>
      </w:r>
      <w:r w:rsidRPr="00994FE3">
        <w:rPr>
          <w:sz w:val="22"/>
          <w:szCs w:val="22"/>
        </w:rPr>
        <w:t>smlouvy</w:t>
      </w:r>
      <w:r>
        <w:rPr>
          <w:sz w:val="22"/>
          <w:szCs w:val="22"/>
        </w:rPr>
        <w:t xml:space="preserve"> </w:t>
      </w:r>
      <w:r w:rsidRPr="00994FE3">
        <w:rPr>
          <w:sz w:val="22"/>
          <w:szCs w:val="22"/>
        </w:rPr>
        <w:t xml:space="preserve">není obchodním tajemstvím a </w:t>
      </w: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souhlasí s případným zveřejněním smlouvy.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Smlouva je platná a účinná dnem podpisu smluvních stran. Tuto smlouvu je možné měnit, doplnit nebo zrušit pouze písemnými průběžně číslovanými smluvními dodatky, jež musí být jako takové označeny a potvrzeny oběma účastníky smlouvy. Tyto dodatky podléhají témuž smluvnímu režimu jako tato smlouva. </w:t>
      </w:r>
    </w:p>
    <w:p w:rsidR="00C2767A" w:rsidRPr="00994FE3" w:rsidRDefault="00C2767A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>Smluvní strany uzavírají smlouvu na základě vlastní, dobrovolné vůle a považují její obsah za ujednání v souladu s dobrými mravy</w:t>
      </w:r>
      <w:r>
        <w:rPr>
          <w:sz w:val="22"/>
          <w:szCs w:val="22"/>
        </w:rPr>
        <w:t>.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>Styk mezi stranami bude písemný (faxem, e-mailem)</w:t>
      </w:r>
      <w:r>
        <w:rPr>
          <w:sz w:val="22"/>
          <w:szCs w:val="22"/>
        </w:rPr>
        <w:t>,</w:t>
      </w:r>
      <w:r w:rsidRPr="00994FE3">
        <w:rPr>
          <w:sz w:val="22"/>
          <w:szCs w:val="22"/>
        </w:rPr>
        <w:t xml:space="preserve"> nebo ústní. Důležitá sdě</w:t>
      </w:r>
      <w:r>
        <w:rPr>
          <w:sz w:val="22"/>
          <w:szCs w:val="22"/>
        </w:rPr>
        <w:t>lení budou buď osobně doručena, nebo</w:t>
      </w:r>
      <w:r w:rsidRPr="00994FE3">
        <w:rPr>
          <w:sz w:val="22"/>
          <w:szCs w:val="22"/>
        </w:rPr>
        <w:t xml:space="preserve"> zaslána doporučeným dopisem. Adresy </w:t>
      </w: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a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 jsou uvedeny v článku 1 smlouvy a mohou být změněny písemným oznámením, které bude včas zasláno druhé straně. Jako doklad o doručení bude považován podpis na kopii průvodního dopisu při osobním doručení nebo potvrzení pošty o doručení.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V záležitostech touto smlouvou neupravených platí příslušná ustanovení </w:t>
      </w:r>
      <w:r w:rsidRPr="00603D8A">
        <w:rPr>
          <w:sz w:val="22"/>
          <w:szCs w:val="22"/>
        </w:rPr>
        <w:t xml:space="preserve">občanského </w:t>
      </w:r>
      <w:r w:rsidRPr="00994FE3">
        <w:rPr>
          <w:sz w:val="22"/>
          <w:szCs w:val="22"/>
        </w:rPr>
        <w:t>zákoníku.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Pr="00994FE3" w:rsidRDefault="00C2767A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Účastníci smlouvy tímto souhlasí, že smlouva a ustanovení v ní obsažená budou řízena a vykládána dle práva České republiky. 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Default="00C2767A" w:rsidP="003E2826">
      <w:pPr>
        <w:numPr>
          <w:ilvl w:val="0"/>
          <w:numId w:val="9"/>
        </w:numPr>
        <w:jc w:val="both"/>
        <w:rPr>
          <w:sz w:val="22"/>
          <w:szCs w:val="22"/>
        </w:rPr>
      </w:pPr>
      <w:r w:rsidRPr="00994FE3">
        <w:rPr>
          <w:sz w:val="22"/>
          <w:szCs w:val="22"/>
        </w:rPr>
        <w:t xml:space="preserve">Tato smlouva se vystavuje ve 2 vyhotoveních v české verzi, z nichž každá ze smluvních stran obdrží po jednom vyhotovení. </w:t>
      </w:r>
    </w:p>
    <w:p w:rsidR="00C2767A" w:rsidRDefault="00C2767A" w:rsidP="004705EE">
      <w:pPr>
        <w:pStyle w:val="Odstavecseseznamem"/>
        <w:rPr>
          <w:sz w:val="22"/>
          <w:szCs w:val="22"/>
        </w:rPr>
      </w:pPr>
    </w:p>
    <w:p w:rsidR="00C2767A" w:rsidRPr="00AC384D" w:rsidRDefault="00C2767A" w:rsidP="00AC384D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XII. </w:t>
      </w:r>
      <w:r w:rsidRPr="00AC384D">
        <w:rPr>
          <w:b/>
          <w:sz w:val="22"/>
          <w:u w:val="single"/>
        </w:rPr>
        <w:t>PLNÁ MOC</w:t>
      </w:r>
    </w:p>
    <w:p w:rsidR="000367FB" w:rsidRPr="000367FB" w:rsidRDefault="00C2767A" w:rsidP="00930F23">
      <w:pPr>
        <w:numPr>
          <w:ilvl w:val="4"/>
          <w:numId w:val="10"/>
        </w:numPr>
        <w:spacing w:before="100" w:beforeAutospacing="1" w:after="100" w:afterAutospacing="1"/>
        <w:ind w:left="284" w:hanging="284"/>
        <w:jc w:val="both"/>
        <w:rPr>
          <w:sz w:val="16"/>
          <w:szCs w:val="16"/>
        </w:rPr>
      </w:pPr>
      <w:r w:rsidRPr="000367FB">
        <w:rPr>
          <w:sz w:val="22"/>
          <w:szCs w:val="22"/>
        </w:rPr>
        <w:t>Podpisem této smlouvy uděluje Příkazce Příkazníkovi plnou moc k provádění všech úkonů nezbytných pro výkon zadavatelských činností s výjimkou úkonů, které vylučuje § 43 zákona      č. 134/2016 Sb.</w:t>
      </w:r>
      <w:r w:rsidR="004E7345" w:rsidRPr="004E7345">
        <w:t xml:space="preserve"> </w:t>
      </w:r>
      <w:r w:rsidR="004E7345" w:rsidRPr="000367FB">
        <w:rPr>
          <w:sz w:val="22"/>
          <w:szCs w:val="22"/>
        </w:rPr>
        <w:t xml:space="preserve">Tato plná moc se uděluje na dobu neurčitou, počínaje dnem podpisu této smlouvy a končí uskutečněním posledního právního jednání příkazníka, kterého je třeba pro komplexní zajištění procesu předmětného zadávacího řízení dle této smlouvy. </w:t>
      </w:r>
    </w:p>
    <w:p w:rsidR="000367FB" w:rsidRPr="000367FB" w:rsidRDefault="000367FB" w:rsidP="000367FB">
      <w:pPr>
        <w:ind w:left="720"/>
        <w:jc w:val="both"/>
        <w:rPr>
          <w:sz w:val="22"/>
          <w:szCs w:val="22"/>
        </w:rPr>
      </w:pPr>
    </w:p>
    <w:p w:rsidR="00C2767A" w:rsidRPr="00994FE3" w:rsidRDefault="00C2767A" w:rsidP="00703514">
      <w:pPr>
        <w:numPr>
          <w:ilvl w:val="4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Pr="00994FE3">
        <w:rPr>
          <w:sz w:val="22"/>
          <w:szCs w:val="22"/>
        </w:rPr>
        <w:t xml:space="preserve"> tímto zmocňuje </w:t>
      </w:r>
      <w:r>
        <w:rPr>
          <w:sz w:val="22"/>
          <w:szCs w:val="22"/>
        </w:rPr>
        <w:t>Příkazníka</w:t>
      </w:r>
      <w:r w:rsidRPr="00994FE3">
        <w:rPr>
          <w:sz w:val="22"/>
          <w:szCs w:val="22"/>
        </w:rPr>
        <w:t xml:space="preserve">, aby jeho jménem oznamoval všechna jeho rozhodnutí účastníkům </w:t>
      </w:r>
      <w:r>
        <w:rPr>
          <w:sz w:val="22"/>
          <w:szCs w:val="22"/>
        </w:rPr>
        <w:t>výběrové</w:t>
      </w:r>
      <w:r w:rsidRPr="00994FE3">
        <w:rPr>
          <w:sz w:val="22"/>
          <w:szCs w:val="22"/>
        </w:rPr>
        <w:t xml:space="preserve">ho řízení.    </w:t>
      </w:r>
    </w:p>
    <w:p w:rsidR="00C2767A" w:rsidRPr="00994FE3" w:rsidRDefault="00C2767A">
      <w:pPr>
        <w:jc w:val="both"/>
        <w:rPr>
          <w:sz w:val="22"/>
          <w:szCs w:val="22"/>
        </w:rPr>
      </w:pPr>
    </w:p>
    <w:p w:rsidR="00C2767A" w:rsidRDefault="00C2767A" w:rsidP="00703514">
      <w:pPr>
        <w:numPr>
          <w:ilvl w:val="4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994FE3">
        <w:rPr>
          <w:sz w:val="22"/>
          <w:szCs w:val="22"/>
        </w:rPr>
        <w:t xml:space="preserve"> tuto plnou moc přijímá.</w:t>
      </w:r>
    </w:p>
    <w:p w:rsidR="00C2767A" w:rsidRPr="0073726A" w:rsidRDefault="00C2767A" w:rsidP="0008465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br/>
      </w:r>
    </w:p>
    <w:tbl>
      <w:tblPr>
        <w:tblW w:w="0" w:type="auto"/>
        <w:tblLook w:val="00A0"/>
      </w:tblPr>
      <w:tblGrid>
        <w:gridCol w:w="4606"/>
        <w:gridCol w:w="4606"/>
      </w:tblGrid>
      <w:tr w:rsidR="00C2767A" w:rsidRPr="0098759C" w:rsidTr="00A85DBD">
        <w:trPr>
          <w:trHeight w:val="569"/>
        </w:trPr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 xml:space="preserve">Ve Zlíně dne </w:t>
            </w:r>
            <w:r w:rsidR="005D5894" w:rsidRPr="00A85DB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DBD">
              <w:rPr>
                <w:sz w:val="22"/>
                <w:szCs w:val="22"/>
              </w:rPr>
              <w:instrText xml:space="preserve"> FORMTEXT </w:instrText>
            </w:r>
            <w:r w:rsidR="005D5894" w:rsidRPr="00A85DBD">
              <w:rPr>
                <w:sz w:val="22"/>
                <w:szCs w:val="22"/>
              </w:rPr>
            </w:r>
            <w:r w:rsidR="005D5894" w:rsidRPr="00A85DBD">
              <w:rPr>
                <w:sz w:val="22"/>
                <w:szCs w:val="22"/>
              </w:rPr>
              <w:fldChar w:fldCharType="separate"/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="005D5894" w:rsidRPr="00A85DBD">
              <w:rPr>
                <w:sz w:val="22"/>
                <w:szCs w:val="22"/>
              </w:rPr>
              <w:fldChar w:fldCharType="end"/>
            </w:r>
            <w:r w:rsidRPr="00A85DBD">
              <w:rPr>
                <w:sz w:val="22"/>
                <w:szCs w:val="22"/>
              </w:rPr>
              <w:tab/>
            </w:r>
          </w:p>
        </w:tc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 xml:space="preserve">Ve Zlíně dne </w:t>
            </w:r>
            <w:r w:rsidR="005D5894" w:rsidRPr="00A85DB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DBD">
              <w:rPr>
                <w:sz w:val="22"/>
                <w:szCs w:val="22"/>
              </w:rPr>
              <w:instrText xml:space="preserve"> FORMTEXT </w:instrText>
            </w:r>
            <w:r w:rsidR="005D5894" w:rsidRPr="00A85DBD">
              <w:rPr>
                <w:sz w:val="22"/>
                <w:szCs w:val="22"/>
              </w:rPr>
            </w:r>
            <w:r w:rsidR="005D5894" w:rsidRPr="00A85DBD">
              <w:rPr>
                <w:sz w:val="22"/>
                <w:szCs w:val="22"/>
              </w:rPr>
              <w:fldChar w:fldCharType="separate"/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Pr="00A85DBD">
              <w:rPr>
                <w:noProof/>
                <w:sz w:val="22"/>
                <w:szCs w:val="22"/>
              </w:rPr>
              <w:t> </w:t>
            </w:r>
            <w:r w:rsidR="005D5894" w:rsidRPr="00A85DBD">
              <w:rPr>
                <w:sz w:val="22"/>
                <w:szCs w:val="22"/>
              </w:rPr>
              <w:fldChar w:fldCharType="end"/>
            </w:r>
          </w:p>
        </w:tc>
      </w:tr>
      <w:tr w:rsidR="00C2767A" w:rsidRPr="0098759C" w:rsidTr="00A85DBD"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</w:p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Příkazník:</w:t>
            </w:r>
          </w:p>
        </w:tc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Příkazce:</w:t>
            </w:r>
          </w:p>
        </w:tc>
      </w:tr>
      <w:tr w:rsidR="00C2767A" w:rsidRPr="004D6802" w:rsidTr="00A85DBD"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b/>
                <w:szCs w:val="22"/>
              </w:rPr>
            </w:pPr>
          </w:p>
          <w:p w:rsidR="00C2767A" w:rsidRPr="00A85DBD" w:rsidRDefault="00C2767A" w:rsidP="00A85DBD">
            <w:pPr>
              <w:pStyle w:val="Zkladntext"/>
              <w:jc w:val="left"/>
              <w:rPr>
                <w:b/>
                <w:szCs w:val="22"/>
              </w:rPr>
            </w:pPr>
            <w:r w:rsidRPr="00A85DBD">
              <w:rPr>
                <w:b/>
                <w:sz w:val="22"/>
                <w:szCs w:val="22"/>
              </w:rPr>
              <w:t xml:space="preserve">MCI SERVIS s.r.o.  </w:t>
            </w:r>
          </w:p>
        </w:tc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Zkladntext"/>
              <w:jc w:val="left"/>
              <w:rPr>
                <w:b/>
                <w:szCs w:val="22"/>
                <w:highlight w:val="yellow"/>
              </w:rPr>
            </w:pPr>
          </w:p>
          <w:p w:rsidR="00C2767A" w:rsidRPr="00A85DBD" w:rsidRDefault="00C2767A" w:rsidP="00A85DBD">
            <w:pPr>
              <w:pStyle w:val="Zkladntext"/>
              <w:jc w:val="left"/>
              <w:rPr>
                <w:b/>
                <w:szCs w:val="22"/>
                <w:highlight w:val="yellow"/>
              </w:rPr>
            </w:pPr>
            <w:r w:rsidRPr="00A85DBD">
              <w:rPr>
                <w:b/>
              </w:rPr>
              <w:t>Dopravní společnost Zlín-Otrokovice, s.r.o.</w:t>
            </w:r>
          </w:p>
        </w:tc>
      </w:tr>
      <w:tr w:rsidR="00C2767A" w:rsidTr="00A85DBD">
        <w:trPr>
          <w:trHeight w:val="965"/>
        </w:trPr>
        <w:tc>
          <w:tcPr>
            <w:tcW w:w="4606" w:type="dxa"/>
            <w:vAlign w:val="center"/>
          </w:tcPr>
          <w:p w:rsidR="004E7345" w:rsidRDefault="004E7345" w:rsidP="00A85DBD">
            <w:pPr>
              <w:pStyle w:val="Zkladntext"/>
              <w:jc w:val="left"/>
              <w:rPr>
                <w:szCs w:val="22"/>
              </w:rPr>
            </w:pPr>
          </w:p>
          <w:p w:rsidR="004E7345" w:rsidRDefault="004E7345" w:rsidP="00A85DBD">
            <w:pPr>
              <w:pStyle w:val="Zkladntext"/>
              <w:jc w:val="left"/>
              <w:rPr>
                <w:szCs w:val="22"/>
              </w:rPr>
            </w:pPr>
          </w:p>
          <w:p w:rsidR="004E7345" w:rsidRDefault="004E7345" w:rsidP="00A85DBD">
            <w:pPr>
              <w:pStyle w:val="Zkladntext"/>
              <w:jc w:val="left"/>
              <w:rPr>
                <w:szCs w:val="22"/>
              </w:rPr>
            </w:pPr>
          </w:p>
          <w:p w:rsidR="00C2767A" w:rsidRPr="00A85DBD" w:rsidRDefault="00C2767A" w:rsidP="00A85DBD">
            <w:pPr>
              <w:pStyle w:val="Zkladntext"/>
              <w:jc w:val="left"/>
              <w:rPr>
                <w:szCs w:val="22"/>
              </w:rPr>
            </w:pPr>
            <w:r w:rsidRPr="00A85DBD">
              <w:rPr>
                <w:sz w:val="22"/>
                <w:szCs w:val="22"/>
              </w:rPr>
              <w:t>Mgr. Marta Černá, jednatelka</w:t>
            </w:r>
          </w:p>
        </w:tc>
        <w:tc>
          <w:tcPr>
            <w:tcW w:w="4606" w:type="dxa"/>
            <w:vAlign w:val="center"/>
          </w:tcPr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</w:p>
          <w:p w:rsidR="004E7345" w:rsidRDefault="004E7345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</w:p>
          <w:p w:rsidR="004E7345" w:rsidRDefault="004E7345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</w:p>
          <w:p w:rsidR="004E7345" w:rsidRDefault="004E7345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</w:rPr>
            </w:pPr>
          </w:p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  <w:r w:rsidRPr="00A85DBD">
              <w:rPr>
                <w:sz w:val="22"/>
                <w:szCs w:val="22"/>
              </w:rPr>
              <w:t xml:space="preserve">Josef Kocháň, </w:t>
            </w:r>
            <w:r w:rsidR="004E7345">
              <w:rPr>
                <w:sz w:val="22"/>
                <w:szCs w:val="22"/>
              </w:rPr>
              <w:t>výkonný ředitel</w:t>
            </w:r>
            <w:r w:rsidRPr="00A85DBD">
              <w:rPr>
                <w:sz w:val="22"/>
                <w:szCs w:val="22"/>
              </w:rPr>
              <w:t xml:space="preserve"> </w:t>
            </w:r>
          </w:p>
          <w:p w:rsidR="00C2767A" w:rsidRPr="00A85DBD" w:rsidRDefault="00C2767A" w:rsidP="00A85DBD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Cs w:val="22"/>
                <w:highlight w:val="yellow"/>
              </w:rPr>
            </w:pPr>
          </w:p>
        </w:tc>
      </w:tr>
    </w:tbl>
    <w:p w:rsidR="00C2767A" w:rsidRPr="0073726A" w:rsidRDefault="00C2767A" w:rsidP="0008465F">
      <w:pPr>
        <w:pStyle w:val="Zkladntext"/>
        <w:jc w:val="left"/>
        <w:rPr>
          <w:sz w:val="22"/>
          <w:szCs w:val="22"/>
        </w:rPr>
      </w:pPr>
    </w:p>
    <w:sectPr w:rsidR="00C2767A" w:rsidRPr="0073726A" w:rsidSect="00BB1C5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7D" w:rsidRDefault="0088767D">
      <w:r>
        <w:separator/>
      </w:r>
    </w:p>
  </w:endnote>
  <w:endnote w:type="continuationSeparator" w:id="0">
    <w:p w:rsidR="0088767D" w:rsidRDefault="0088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7D" w:rsidRDefault="0088767D">
      <w:r>
        <w:separator/>
      </w:r>
    </w:p>
  </w:footnote>
  <w:footnote w:type="continuationSeparator" w:id="0">
    <w:p w:rsidR="0088767D" w:rsidRDefault="0088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7A" w:rsidRDefault="005D589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767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67A" w:rsidRDefault="00C2767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7A" w:rsidRDefault="005D589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767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5F0C">
      <w:rPr>
        <w:rStyle w:val="slostrnky"/>
        <w:noProof/>
      </w:rPr>
      <w:t>9</w:t>
    </w:r>
    <w:r>
      <w:rPr>
        <w:rStyle w:val="slostrnky"/>
      </w:rPr>
      <w:fldChar w:fldCharType="end"/>
    </w:r>
  </w:p>
  <w:p w:rsidR="00C2767A" w:rsidRDefault="00C2767A">
    <w:pPr>
      <w:pStyle w:val="Zhlav"/>
      <w:tabs>
        <w:tab w:val="clear" w:pos="4536"/>
        <w:tab w:val="center" w:pos="4253"/>
      </w:tabs>
    </w:pPr>
    <w:r>
      <w:rPr>
        <w:rStyle w:val="slostrnky"/>
      </w:rPr>
      <w:tab/>
      <w:t xml:space="preserve">                                                                                   </w:t>
    </w:r>
    <w:r>
      <w:rPr>
        <w:rStyle w:val="slostrnky"/>
      </w:rPr>
      <w:tab/>
    </w:r>
    <w:r>
      <w:rPr>
        <w:rStyle w:val="slostrnky"/>
      </w:rPr>
      <w:tab/>
      <w:t>č. smlouvy Příkazníka: 2019104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7A" w:rsidRDefault="00C2767A" w:rsidP="00BB1C51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3E0"/>
    <w:multiLevelType w:val="hybridMultilevel"/>
    <w:tmpl w:val="34CE0D56"/>
    <w:lvl w:ilvl="0" w:tplc="2E1E7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DEC9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50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521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488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582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7D0F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DA4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EA2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F6A30"/>
    <w:multiLevelType w:val="hybridMultilevel"/>
    <w:tmpl w:val="F5DEE41E"/>
    <w:lvl w:ilvl="0" w:tplc="A3766D5E">
      <w:start w:val="2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FF16D1"/>
    <w:multiLevelType w:val="hybridMultilevel"/>
    <w:tmpl w:val="1D6885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F8572B"/>
    <w:multiLevelType w:val="hybridMultilevel"/>
    <w:tmpl w:val="9746C0C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72F26"/>
    <w:multiLevelType w:val="hybridMultilevel"/>
    <w:tmpl w:val="F4B0B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0A7E57"/>
    <w:multiLevelType w:val="hybridMultilevel"/>
    <w:tmpl w:val="F0EACC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488664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C77A7B"/>
    <w:multiLevelType w:val="hybridMultilevel"/>
    <w:tmpl w:val="350A15AE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87765"/>
    <w:multiLevelType w:val="hybridMultilevel"/>
    <w:tmpl w:val="77624CF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A0064"/>
    <w:multiLevelType w:val="hybridMultilevel"/>
    <w:tmpl w:val="53622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B66006"/>
    <w:multiLevelType w:val="hybridMultilevel"/>
    <w:tmpl w:val="03C29A8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2757A"/>
    <w:multiLevelType w:val="hybridMultilevel"/>
    <w:tmpl w:val="1AD82684"/>
    <w:lvl w:ilvl="0" w:tplc="248EA0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873C96"/>
    <w:multiLevelType w:val="hybridMultilevel"/>
    <w:tmpl w:val="2C3EC7B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912CD"/>
    <w:multiLevelType w:val="hybridMultilevel"/>
    <w:tmpl w:val="D7D216F8"/>
    <w:lvl w:ilvl="0" w:tplc="E292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9441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6EB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DCE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92F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D0B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0A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1AE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B2E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6C4792"/>
    <w:multiLevelType w:val="hybridMultilevel"/>
    <w:tmpl w:val="C5DE864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D43D3"/>
    <w:multiLevelType w:val="hybridMultilevel"/>
    <w:tmpl w:val="93FEFE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9F2ECB"/>
    <w:multiLevelType w:val="hybridMultilevel"/>
    <w:tmpl w:val="E1B68A80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356CB"/>
    <w:multiLevelType w:val="hybridMultilevel"/>
    <w:tmpl w:val="0882C1B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11AA4"/>
    <w:multiLevelType w:val="hybridMultilevel"/>
    <w:tmpl w:val="7454478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E0D79"/>
    <w:multiLevelType w:val="hybridMultilevel"/>
    <w:tmpl w:val="3154ACB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622D0"/>
    <w:multiLevelType w:val="singleLevel"/>
    <w:tmpl w:val="3D98785A"/>
    <w:lvl w:ilvl="0">
      <w:start w:val="1"/>
      <w:numFmt w:val="lowerLetter"/>
      <w:lvlText w:val="%1) "/>
      <w:lvlJc w:val="left"/>
      <w:pPr>
        <w:tabs>
          <w:tab w:val="num" w:pos="1353"/>
        </w:tabs>
        <w:ind w:left="127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498D68BC"/>
    <w:multiLevelType w:val="hybridMultilevel"/>
    <w:tmpl w:val="25C41A12"/>
    <w:lvl w:ilvl="0" w:tplc="445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C9277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E2E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C8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BAA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F07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8E5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D25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9C8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9E80EB4"/>
    <w:multiLevelType w:val="hybridMultilevel"/>
    <w:tmpl w:val="A6C44EA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17FCE"/>
    <w:multiLevelType w:val="hybridMultilevel"/>
    <w:tmpl w:val="2884DD02"/>
    <w:lvl w:ilvl="0" w:tplc="C2AE04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48A8D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cs="Times New Roman" w:hint="default"/>
      </w:rPr>
    </w:lvl>
  </w:abstractNum>
  <w:abstractNum w:abstractNumId="24">
    <w:nsid w:val="53202B1E"/>
    <w:multiLevelType w:val="hybridMultilevel"/>
    <w:tmpl w:val="87240514"/>
    <w:lvl w:ilvl="0" w:tplc="A1108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D513E"/>
    <w:multiLevelType w:val="hybridMultilevel"/>
    <w:tmpl w:val="1C5ECD18"/>
    <w:lvl w:ilvl="0" w:tplc="E46EF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46B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D8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42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04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28F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AEE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50A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EE1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83038F"/>
    <w:multiLevelType w:val="hybridMultilevel"/>
    <w:tmpl w:val="5ACCDB0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42771"/>
    <w:multiLevelType w:val="hybridMultilevel"/>
    <w:tmpl w:val="869209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7259B3"/>
    <w:multiLevelType w:val="hybridMultilevel"/>
    <w:tmpl w:val="CFA80C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121B50"/>
    <w:multiLevelType w:val="hybridMultilevel"/>
    <w:tmpl w:val="2A30DA0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A674145"/>
    <w:multiLevelType w:val="hybridMultilevel"/>
    <w:tmpl w:val="8DA2EBE4"/>
    <w:lvl w:ilvl="0" w:tplc="B736226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837861"/>
    <w:multiLevelType w:val="multilevel"/>
    <w:tmpl w:val="9B102D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B338C5"/>
    <w:multiLevelType w:val="hybridMultilevel"/>
    <w:tmpl w:val="23B2ECE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131EC"/>
    <w:multiLevelType w:val="hybridMultilevel"/>
    <w:tmpl w:val="EC2ABA9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E02CD"/>
    <w:multiLevelType w:val="hybridMultilevel"/>
    <w:tmpl w:val="5F20D7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C86368"/>
    <w:multiLevelType w:val="hybridMultilevel"/>
    <w:tmpl w:val="C624D3D4"/>
    <w:lvl w:ilvl="0" w:tplc="C2AE04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706EE8"/>
    <w:multiLevelType w:val="hybridMultilevel"/>
    <w:tmpl w:val="0CA68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25"/>
  </w:num>
  <w:num w:numId="5">
    <w:abstractNumId w:val="22"/>
  </w:num>
  <w:num w:numId="6">
    <w:abstractNumId w:val="4"/>
  </w:num>
  <w:num w:numId="7">
    <w:abstractNumId w:val="12"/>
  </w:num>
  <w:num w:numId="8">
    <w:abstractNumId w:val="20"/>
  </w:num>
  <w:num w:numId="9">
    <w:abstractNumId w:val="0"/>
  </w:num>
  <w:num w:numId="10">
    <w:abstractNumId w:val="31"/>
  </w:num>
  <w:num w:numId="11">
    <w:abstractNumId w:val="30"/>
  </w:num>
  <w:num w:numId="12">
    <w:abstractNumId w:val="1"/>
  </w:num>
  <w:num w:numId="13">
    <w:abstractNumId w:val="14"/>
  </w:num>
  <w:num w:numId="14">
    <w:abstractNumId w:val="34"/>
  </w:num>
  <w:num w:numId="15">
    <w:abstractNumId w:val="29"/>
  </w:num>
  <w:num w:numId="16">
    <w:abstractNumId w:val="35"/>
  </w:num>
  <w:num w:numId="17">
    <w:abstractNumId w:val="8"/>
  </w:num>
  <w:num w:numId="18">
    <w:abstractNumId w:val="10"/>
  </w:num>
  <w:num w:numId="19">
    <w:abstractNumId w:val="27"/>
  </w:num>
  <w:num w:numId="20">
    <w:abstractNumId w:val="9"/>
  </w:num>
  <w:num w:numId="21">
    <w:abstractNumId w:val="13"/>
  </w:num>
  <w:num w:numId="22">
    <w:abstractNumId w:val="7"/>
  </w:num>
  <w:num w:numId="23">
    <w:abstractNumId w:val="17"/>
  </w:num>
  <w:num w:numId="24">
    <w:abstractNumId w:val="26"/>
  </w:num>
  <w:num w:numId="25">
    <w:abstractNumId w:val="11"/>
  </w:num>
  <w:num w:numId="26">
    <w:abstractNumId w:val="15"/>
  </w:num>
  <w:num w:numId="27">
    <w:abstractNumId w:val="3"/>
  </w:num>
  <w:num w:numId="28">
    <w:abstractNumId w:val="32"/>
  </w:num>
  <w:num w:numId="29">
    <w:abstractNumId w:val="18"/>
  </w:num>
  <w:num w:numId="30">
    <w:abstractNumId w:val="21"/>
  </w:num>
  <w:num w:numId="31">
    <w:abstractNumId w:val="33"/>
  </w:num>
  <w:num w:numId="32">
    <w:abstractNumId w:val="16"/>
  </w:num>
  <w:num w:numId="33">
    <w:abstractNumId w:val="36"/>
  </w:num>
  <w:num w:numId="34">
    <w:abstractNumId w:val="2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AF3"/>
    <w:rsid w:val="00010D35"/>
    <w:rsid w:val="00024A9B"/>
    <w:rsid w:val="000337B8"/>
    <w:rsid w:val="000340EE"/>
    <w:rsid w:val="000367FB"/>
    <w:rsid w:val="00041AD4"/>
    <w:rsid w:val="00042308"/>
    <w:rsid w:val="000522BB"/>
    <w:rsid w:val="00057E63"/>
    <w:rsid w:val="00065FCC"/>
    <w:rsid w:val="00066D52"/>
    <w:rsid w:val="0007339D"/>
    <w:rsid w:val="000833C4"/>
    <w:rsid w:val="0008433F"/>
    <w:rsid w:val="0008465F"/>
    <w:rsid w:val="00087B70"/>
    <w:rsid w:val="00093F0E"/>
    <w:rsid w:val="000A0D10"/>
    <w:rsid w:val="000A5499"/>
    <w:rsid w:val="000B72FB"/>
    <w:rsid w:val="000C0190"/>
    <w:rsid w:val="000C7C7E"/>
    <w:rsid w:val="000D0720"/>
    <w:rsid w:val="000E1AC5"/>
    <w:rsid w:val="000F4E62"/>
    <w:rsid w:val="000F69C9"/>
    <w:rsid w:val="00101A26"/>
    <w:rsid w:val="0010205E"/>
    <w:rsid w:val="001028FD"/>
    <w:rsid w:val="001034B4"/>
    <w:rsid w:val="00112F88"/>
    <w:rsid w:val="00126A15"/>
    <w:rsid w:val="001351A3"/>
    <w:rsid w:val="001431BE"/>
    <w:rsid w:val="00152E10"/>
    <w:rsid w:val="00157986"/>
    <w:rsid w:val="001700B7"/>
    <w:rsid w:val="00171EDA"/>
    <w:rsid w:val="00173999"/>
    <w:rsid w:val="001755CF"/>
    <w:rsid w:val="00190D11"/>
    <w:rsid w:val="00197261"/>
    <w:rsid w:val="001A1974"/>
    <w:rsid w:val="001B28F1"/>
    <w:rsid w:val="001D0130"/>
    <w:rsid w:val="001D7A6C"/>
    <w:rsid w:val="001D7BE7"/>
    <w:rsid w:val="001E4019"/>
    <w:rsid w:val="0020287D"/>
    <w:rsid w:val="0020601E"/>
    <w:rsid w:val="00211B20"/>
    <w:rsid w:val="0021586D"/>
    <w:rsid w:val="00221EFD"/>
    <w:rsid w:val="00222004"/>
    <w:rsid w:val="00236DBC"/>
    <w:rsid w:val="00263305"/>
    <w:rsid w:val="002636FB"/>
    <w:rsid w:val="002644F6"/>
    <w:rsid w:val="00277AC5"/>
    <w:rsid w:val="00286727"/>
    <w:rsid w:val="00297128"/>
    <w:rsid w:val="002B4AD0"/>
    <w:rsid w:val="002B7144"/>
    <w:rsid w:val="002C0185"/>
    <w:rsid w:val="002C24F8"/>
    <w:rsid w:val="00301668"/>
    <w:rsid w:val="00305A2F"/>
    <w:rsid w:val="00322E53"/>
    <w:rsid w:val="00330E43"/>
    <w:rsid w:val="00350A97"/>
    <w:rsid w:val="00366A32"/>
    <w:rsid w:val="003677E3"/>
    <w:rsid w:val="0037053A"/>
    <w:rsid w:val="00373FA3"/>
    <w:rsid w:val="00374392"/>
    <w:rsid w:val="003763A5"/>
    <w:rsid w:val="003A1225"/>
    <w:rsid w:val="003A7D36"/>
    <w:rsid w:val="003C3963"/>
    <w:rsid w:val="003C5F0C"/>
    <w:rsid w:val="003D0302"/>
    <w:rsid w:val="003D7B92"/>
    <w:rsid w:val="003E2826"/>
    <w:rsid w:val="003F3DC1"/>
    <w:rsid w:val="0040291F"/>
    <w:rsid w:val="00407D0E"/>
    <w:rsid w:val="0045396B"/>
    <w:rsid w:val="004616EE"/>
    <w:rsid w:val="00463B75"/>
    <w:rsid w:val="004705EE"/>
    <w:rsid w:val="00474CE0"/>
    <w:rsid w:val="00474E53"/>
    <w:rsid w:val="00480DBC"/>
    <w:rsid w:val="00481CD2"/>
    <w:rsid w:val="00482323"/>
    <w:rsid w:val="00491742"/>
    <w:rsid w:val="00493E59"/>
    <w:rsid w:val="004B10FA"/>
    <w:rsid w:val="004D4857"/>
    <w:rsid w:val="004D6802"/>
    <w:rsid w:val="004D68BC"/>
    <w:rsid w:val="004E7345"/>
    <w:rsid w:val="00502AC9"/>
    <w:rsid w:val="00504731"/>
    <w:rsid w:val="0052046F"/>
    <w:rsid w:val="00523CE6"/>
    <w:rsid w:val="00526CC2"/>
    <w:rsid w:val="00537765"/>
    <w:rsid w:val="00541029"/>
    <w:rsid w:val="00551A73"/>
    <w:rsid w:val="0055292F"/>
    <w:rsid w:val="00553ADC"/>
    <w:rsid w:val="0057612D"/>
    <w:rsid w:val="00583028"/>
    <w:rsid w:val="00591090"/>
    <w:rsid w:val="00594615"/>
    <w:rsid w:val="00594639"/>
    <w:rsid w:val="0059492C"/>
    <w:rsid w:val="005956D2"/>
    <w:rsid w:val="00597FCC"/>
    <w:rsid w:val="005A0500"/>
    <w:rsid w:val="005A166A"/>
    <w:rsid w:val="005B1E07"/>
    <w:rsid w:val="005B2001"/>
    <w:rsid w:val="005B2D55"/>
    <w:rsid w:val="005B6165"/>
    <w:rsid w:val="005B75E7"/>
    <w:rsid w:val="005D0F32"/>
    <w:rsid w:val="005D3821"/>
    <w:rsid w:val="005D5894"/>
    <w:rsid w:val="0060134B"/>
    <w:rsid w:val="0060301F"/>
    <w:rsid w:val="00603D8A"/>
    <w:rsid w:val="006054D2"/>
    <w:rsid w:val="00623C91"/>
    <w:rsid w:val="0063198F"/>
    <w:rsid w:val="00654AF3"/>
    <w:rsid w:val="00655DEF"/>
    <w:rsid w:val="00660E55"/>
    <w:rsid w:val="00661531"/>
    <w:rsid w:val="00670550"/>
    <w:rsid w:val="00687CB9"/>
    <w:rsid w:val="006901CF"/>
    <w:rsid w:val="006905D8"/>
    <w:rsid w:val="00690E96"/>
    <w:rsid w:val="006A1E64"/>
    <w:rsid w:val="006A2E4C"/>
    <w:rsid w:val="006B0324"/>
    <w:rsid w:val="006B44B7"/>
    <w:rsid w:val="006C0ADE"/>
    <w:rsid w:val="006C1CAE"/>
    <w:rsid w:val="006C2553"/>
    <w:rsid w:val="006C7C53"/>
    <w:rsid w:val="006E1935"/>
    <w:rsid w:val="006E684C"/>
    <w:rsid w:val="006E7D8B"/>
    <w:rsid w:val="00703514"/>
    <w:rsid w:val="0072726B"/>
    <w:rsid w:val="0073726A"/>
    <w:rsid w:val="00763B68"/>
    <w:rsid w:val="007702AF"/>
    <w:rsid w:val="00796F54"/>
    <w:rsid w:val="00797832"/>
    <w:rsid w:val="007A6C70"/>
    <w:rsid w:val="007B6F09"/>
    <w:rsid w:val="007C2235"/>
    <w:rsid w:val="007C2792"/>
    <w:rsid w:val="007C4CC7"/>
    <w:rsid w:val="007D5CC4"/>
    <w:rsid w:val="007E5B8D"/>
    <w:rsid w:val="007F038A"/>
    <w:rsid w:val="008142AB"/>
    <w:rsid w:val="008159F2"/>
    <w:rsid w:val="0082324E"/>
    <w:rsid w:val="00847666"/>
    <w:rsid w:val="0086013F"/>
    <w:rsid w:val="00882648"/>
    <w:rsid w:val="00886225"/>
    <w:rsid w:val="00886DC9"/>
    <w:rsid w:val="0088767D"/>
    <w:rsid w:val="00891A36"/>
    <w:rsid w:val="008930FB"/>
    <w:rsid w:val="00894227"/>
    <w:rsid w:val="008A3EA1"/>
    <w:rsid w:val="008B3403"/>
    <w:rsid w:val="008C0811"/>
    <w:rsid w:val="008C2A78"/>
    <w:rsid w:val="008C3E75"/>
    <w:rsid w:val="008C653F"/>
    <w:rsid w:val="008D0349"/>
    <w:rsid w:val="008D2B4B"/>
    <w:rsid w:val="008D630F"/>
    <w:rsid w:val="008E178D"/>
    <w:rsid w:val="0090099E"/>
    <w:rsid w:val="00905EEE"/>
    <w:rsid w:val="009170CE"/>
    <w:rsid w:val="00930CDC"/>
    <w:rsid w:val="00931C31"/>
    <w:rsid w:val="00933AE8"/>
    <w:rsid w:val="0094315A"/>
    <w:rsid w:val="00943836"/>
    <w:rsid w:val="00946DEA"/>
    <w:rsid w:val="00952B95"/>
    <w:rsid w:val="00952D63"/>
    <w:rsid w:val="009535CF"/>
    <w:rsid w:val="009625ED"/>
    <w:rsid w:val="009749A2"/>
    <w:rsid w:val="00977BE9"/>
    <w:rsid w:val="0098537E"/>
    <w:rsid w:val="0098583E"/>
    <w:rsid w:val="0098743A"/>
    <w:rsid w:val="0098759C"/>
    <w:rsid w:val="00992D2B"/>
    <w:rsid w:val="0099481F"/>
    <w:rsid w:val="009949B5"/>
    <w:rsid w:val="00994FE3"/>
    <w:rsid w:val="009A52F0"/>
    <w:rsid w:val="009A73BC"/>
    <w:rsid w:val="009B26B0"/>
    <w:rsid w:val="009B3E0E"/>
    <w:rsid w:val="009C7046"/>
    <w:rsid w:val="009C7F49"/>
    <w:rsid w:val="009D6D66"/>
    <w:rsid w:val="009F7351"/>
    <w:rsid w:val="00A016BC"/>
    <w:rsid w:val="00A10F73"/>
    <w:rsid w:val="00A124D5"/>
    <w:rsid w:val="00A14C38"/>
    <w:rsid w:val="00A26125"/>
    <w:rsid w:val="00A3436E"/>
    <w:rsid w:val="00A6403D"/>
    <w:rsid w:val="00A70648"/>
    <w:rsid w:val="00A75CCA"/>
    <w:rsid w:val="00A76DE3"/>
    <w:rsid w:val="00A7799F"/>
    <w:rsid w:val="00A85DBD"/>
    <w:rsid w:val="00A9065C"/>
    <w:rsid w:val="00AA19B3"/>
    <w:rsid w:val="00AB21BF"/>
    <w:rsid w:val="00AC384D"/>
    <w:rsid w:val="00AC4CAD"/>
    <w:rsid w:val="00AD0036"/>
    <w:rsid w:val="00AE3D66"/>
    <w:rsid w:val="00B02945"/>
    <w:rsid w:val="00B058A2"/>
    <w:rsid w:val="00B216ED"/>
    <w:rsid w:val="00B44EE4"/>
    <w:rsid w:val="00B55CDB"/>
    <w:rsid w:val="00B6763C"/>
    <w:rsid w:val="00B80508"/>
    <w:rsid w:val="00B84334"/>
    <w:rsid w:val="00B912DD"/>
    <w:rsid w:val="00B93533"/>
    <w:rsid w:val="00BA5546"/>
    <w:rsid w:val="00BA6AB8"/>
    <w:rsid w:val="00BB0CA6"/>
    <w:rsid w:val="00BB1C51"/>
    <w:rsid w:val="00BB7A56"/>
    <w:rsid w:val="00BE4A03"/>
    <w:rsid w:val="00BF0C5F"/>
    <w:rsid w:val="00BF0C65"/>
    <w:rsid w:val="00BF290E"/>
    <w:rsid w:val="00BF6FCD"/>
    <w:rsid w:val="00C02B8A"/>
    <w:rsid w:val="00C139BB"/>
    <w:rsid w:val="00C211F3"/>
    <w:rsid w:val="00C21211"/>
    <w:rsid w:val="00C2767A"/>
    <w:rsid w:val="00C4029C"/>
    <w:rsid w:val="00C511DB"/>
    <w:rsid w:val="00C64DB0"/>
    <w:rsid w:val="00C8181D"/>
    <w:rsid w:val="00C821D8"/>
    <w:rsid w:val="00C83A77"/>
    <w:rsid w:val="00C9036E"/>
    <w:rsid w:val="00C93292"/>
    <w:rsid w:val="00CA4B6F"/>
    <w:rsid w:val="00CA7427"/>
    <w:rsid w:val="00CB2236"/>
    <w:rsid w:val="00CB67C7"/>
    <w:rsid w:val="00CB69BC"/>
    <w:rsid w:val="00CC5F58"/>
    <w:rsid w:val="00CD6A79"/>
    <w:rsid w:val="00CE0120"/>
    <w:rsid w:val="00CF1A79"/>
    <w:rsid w:val="00CF2D8B"/>
    <w:rsid w:val="00D027BD"/>
    <w:rsid w:val="00D03F8D"/>
    <w:rsid w:val="00D24894"/>
    <w:rsid w:val="00D24A54"/>
    <w:rsid w:val="00D454E2"/>
    <w:rsid w:val="00D50825"/>
    <w:rsid w:val="00D577AC"/>
    <w:rsid w:val="00D61A2E"/>
    <w:rsid w:val="00D652E4"/>
    <w:rsid w:val="00D93328"/>
    <w:rsid w:val="00DB0604"/>
    <w:rsid w:val="00DC2485"/>
    <w:rsid w:val="00DD0E0D"/>
    <w:rsid w:val="00DD2037"/>
    <w:rsid w:val="00DD5F9B"/>
    <w:rsid w:val="00E06DC2"/>
    <w:rsid w:val="00E15E9A"/>
    <w:rsid w:val="00E4247C"/>
    <w:rsid w:val="00E449D1"/>
    <w:rsid w:val="00E45A38"/>
    <w:rsid w:val="00E4646E"/>
    <w:rsid w:val="00E4741C"/>
    <w:rsid w:val="00E53044"/>
    <w:rsid w:val="00E8349F"/>
    <w:rsid w:val="00E86849"/>
    <w:rsid w:val="00E9296B"/>
    <w:rsid w:val="00E979E4"/>
    <w:rsid w:val="00E97A25"/>
    <w:rsid w:val="00EA14AD"/>
    <w:rsid w:val="00EA3719"/>
    <w:rsid w:val="00EB46CD"/>
    <w:rsid w:val="00EC5C98"/>
    <w:rsid w:val="00ED4E00"/>
    <w:rsid w:val="00EE0385"/>
    <w:rsid w:val="00EE06A7"/>
    <w:rsid w:val="00EE0B79"/>
    <w:rsid w:val="00EE27AD"/>
    <w:rsid w:val="00EE28CC"/>
    <w:rsid w:val="00EE2C36"/>
    <w:rsid w:val="00F0476E"/>
    <w:rsid w:val="00F07924"/>
    <w:rsid w:val="00F17A16"/>
    <w:rsid w:val="00F21CE4"/>
    <w:rsid w:val="00F2230A"/>
    <w:rsid w:val="00F264DF"/>
    <w:rsid w:val="00F26CCA"/>
    <w:rsid w:val="00F320ED"/>
    <w:rsid w:val="00F4175E"/>
    <w:rsid w:val="00F472CC"/>
    <w:rsid w:val="00F5142E"/>
    <w:rsid w:val="00F607BF"/>
    <w:rsid w:val="00F64516"/>
    <w:rsid w:val="00F64B6E"/>
    <w:rsid w:val="00F84838"/>
    <w:rsid w:val="00F95FA0"/>
    <w:rsid w:val="00F96E2F"/>
    <w:rsid w:val="00FA31F9"/>
    <w:rsid w:val="00FA3524"/>
    <w:rsid w:val="00FC7299"/>
    <w:rsid w:val="00FE5218"/>
    <w:rsid w:val="00FF2850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lock Text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2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C2235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7C2235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F0C5F"/>
    <w:pPr>
      <w:keepNext/>
      <w:numPr>
        <w:numId w:val="2"/>
      </w:numPr>
      <w:tabs>
        <w:tab w:val="clear" w:pos="1064"/>
      </w:tabs>
      <w:ind w:left="0" w:firstLine="0"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C2235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7C2235"/>
    <w:pPr>
      <w:keepNext/>
      <w:ind w:left="360" w:hanging="36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7C2235"/>
    <w:pPr>
      <w:keepNext/>
      <w:ind w:left="360" w:hanging="360"/>
      <w:jc w:val="both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7C2235"/>
    <w:pPr>
      <w:keepNext/>
      <w:ind w:left="360" w:hanging="360"/>
      <w:jc w:val="both"/>
      <w:outlineLvl w:val="6"/>
    </w:pPr>
    <w:rPr>
      <w:b/>
      <w:color w:val="FF6600"/>
    </w:rPr>
  </w:style>
  <w:style w:type="paragraph" w:styleId="Nadpis8">
    <w:name w:val="heading 8"/>
    <w:basedOn w:val="Normln"/>
    <w:next w:val="Normln"/>
    <w:link w:val="Nadpis8Char"/>
    <w:uiPriority w:val="99"/>
    <w:qFormat/>
    <w:rsid w:val="007C2235"/>
    <w:pPr>
      <w:keepNext/>
      <w:ind w:left="360" w:hanging="360"/>
      <w:jc w:val="both"/>
      <w:outlineLvl w:val="7"/>
    </w:pPr>
    <w:rPr>
      <w:b/>
      <w:color w:val="FF6600"/>
      <w:sz w:val="12"/>
    </w:rPr>
  </w:style>
  <w:style w:type="paragraph" w:styleId="Nadpis9">
    <w:name w:val="heading 9"/>
    <w:basedOn w:val="Normln"/>
    <w:next w:val="Normln"/>
    <w:link w:val="Nadpis9Char"/>
    <w:uiPriority w:val="99"/>
    <w:qFormat/>
    <w:rsid w:val="007C2235"/>
    <w:pPr>
      <w:keepNext/>
      <w:ind w:left="360" w:hanging="360"/>
      <w:jc w:val="both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55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D655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655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655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891A36"/>
    <w:rPr>
      <w:b/>
      <w:sz w:val="24"/>
    </w:rPr>
  </w:style>
  <w:style w:type="character" w:customStyle="1" w:styleId="Nadpis6Char">
    <w:name w:val="Nadpis 6 Char"/>
    <w:link w:val="Nadpis6"/>
    <w:uiPriority w:val="9"/>
    <w:semiHidden/>
    <w:rsid w:val="00D655F9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D655F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655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655F9"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semiHidden/>
    <w:rsid w:val="007C223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472C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rsid w:val="007C22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655F9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7C2235"/>
    <w:pPr>
      <w:jc w:val="center"/>
    </w:pPr>
    <w:rPr>
      <w:szCs w:val="20"/>
    </w:rPr>
  </w:style>
  <w:style w:type="character" w:customStyle="1" w:styleId="ZkladntextChar">
    <w:name w:val="Základní text Char"/>
    <w:link w:val="Zkladntext"/>
    <w:uiPriority w:val="99"/>
    <w:locked/>
    <w:rsid w:val="00EC5C98"/>
    <w:rPr>
      <w:rFonts w:cs="Times New Roman"/>
      <w:sz w:val="24"/>
    </w:rPr>
  </w:style>
  <w:style w:type="paragraph" w:styleId="Textvbloku">
    <w:name w:val="Block Text"/>
    <w:basedOn w:val="Normln"/>
    <w:uiPriority w:val="99"/>
    <w:semiHidden/>
    <w:rsid w:val="007C2235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uiPriority w:val="99"/>
    <w:rsid w:val="007C2235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C2235"/>
    <w:pPr>
      <w:widowControl w:val="0"/>
      <w:ind w:left="1560" w:hanging="709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D655F9"/>
    <w:rPr>
      <w:sz w:val="24"/>
      <w:szCs w:val="24"/>
    </w:rPr>
  </w:style>
  <w:style w:type="character" w:styleId="slostrnky">
    <w:name w:val="page number"/>
    <w:uiPriority w:val="99"/>
    <w:semiHidden/>
    <w:rsid w:val="007C2235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7C2235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D655F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C2235"/>
    <w:pPr>
      <w:ind w:left="283"/>
      <w:jc w:val="both"/>
    </w:pPr>
    <w:rPr>
      <w:rFonts w:ascii="Arial" w:hAnsi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655F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7C2235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D655F9"/>
    <w:rPr>
      <w:sz w:val="24"/>
      <w:szCs w:val="24"/>
    </w:rPr>
  </w:style>
  <w:style w:type="paragraph" w:customStyle="1" w:styleId="Textzkladn">
    <w:name w:val="Text základní"/>
    <w:basedOn w:val="Normln"/>
    <w:uiPriority w:val="99"/>
    <w:rsid w:val="007C2235"/>
    <w:pPr>
      <w:spacing w:after="120"/>
      <w:jc w:val="both"/>
    </w:pPr>
  </w:style>
  <w:style w:type="character" w:styleId="Hypertextovodkaz">
    <w:name w:val="Hyperlink"/>
    <w:uiPriority w:val="99"/>
    <w:rsid w:val="007C223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C2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55F9"/>
    <w:rPr>
      <w:sz w:val="0"/>
      <w:szCs w:val="0"/>
    </w:rPr>
  </w:style>
  <w:style w:type="paragraph" w:customStyle="1" w:styleId="Normln1">
    <w:name w:val="Normální1"/>
    <w:basedOn w:val="Normln"/>
    <w:uiPriority w:val="99"/>
    <w:rsid w:val="007C2235"/>
    <w:pPr>
      <w:ind w:left="510" w:firstLine="567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semiHidden/>
    <w:rsid w:val="007C2235"/>
    <w:pPr>
      <w:jc w:val="both"/>
    </w:pPr>
    <w:rPr>
      <w:sz w:val="22"/>
    </w:rPr>
  </w:style>
  <w:style w:type="character" w:customStyle="1" w:styleId="Zkladntext3Char">
    <w:name w:val="Základní text 3 Char"/>
    <w:link w:val="Zkladntext3"/>
    <w:uiPriority w:val="99"/>
    <w:semiHidden/>
    <w:rsid w:val="00D655F9"/>
    <w:rPr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C2235"/>
    <w:pPr>
      <w:ind w:left="708"/>
    </w:pPr>
  </w:style>
  <w:style w:type="character" w:styleId="Odkaznakoment">
    <w:name w:val="annotation reference"/>
    <w:uiPriority w:val="99"/>
    <w:semiHidden/>
    <w:rsid w:val="005A166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A166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5A166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16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166A"/>
    <w:rPr>
      <w:rFonts w:cs="Times New Roman"/>
      <w:b/>
    </w:rPr>
  </w:style>
  <w:style w:type="table" w:styleId="Mkatabulky">
    <w:name w:val="Table Grid"/>
    <w:basedOn w:val="Normlntabulka"/>
    <w:uiPriority w:val="99"/>
    <w:rsid w:val="00B55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001D7BE7"/>
    <w:rPr>
      <w:rFonts w:cs="Times New Roman"/>
      <w:color w:val="808080"/>
    </w:rPr>
  </w:style>
  <w:style w:type="character" w:customStyle="1" w:styleId="preformatted">
    <w:name w:val="preformatted"/>
    <w:uiPriority w:val="99"/>
    <w:rsid w:val="000846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2987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vzor ZJP</vt:lpstr>
    </vt:vector>
  </TitlesOfParts>
  <Company>MCISERVIS</Company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vzor ZJP</dc:title>
  <dc:creator>Marta Černá</dc:creator>
  <cp:lastModifiedBy>Dana Bačová</cp:lastModifiedBy>
  <cp:revision>2</cp:revision>
  <cp:lastPrinted>2018-02-20T14:10:00Z</cp:lastPrinted>
  <dcterms:created xsi:type="dcterms:W3CDTF">2019-10-22T12:11:00Z</dcterms:created>
  <dcterms:modified xsi:type="dcterms:W3CDTF">2019-10-22T12:11:00Z</dcterms:modified>
</cp:coreProperties>
</file>