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B2" w:rsidRDefault="004475B3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dílo</w:t>
      </w:r>
    </w:p>
    <w:p w:rsidR="006460B2" w:rsidRDefault="004475B3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6460B2" w:rsidRPr="004475B3" w:rsidRDefault="004475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4475B3">
        <w:rPr>
          <w:rFonts w:ascii="Georgia" w:eastAsia="Georgia" w:hAnsi="Georgia" w:cs="Georgia"/>
          <w:b/>
          <w:sz w:val="24"/>
          <w:szCs w:val="24"/>
        </w:rPr>
        <w:t>Město Kaplice</w:t>
      </w:r>
    </w:p>
    <w:p w:rsidR="006460B2" w:rsidRPr="004475B3" w:rsidRDefault="004475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4475B3">
        <w:rPr>
          <w:rFonts w:ascii="Georgia" w:eastAsia="Georgia" w:hAnsi="Georgia" w:cs="Georgia"/>
          <w:sz w:val="24"/>
          <w:szCs w:val="24"/>
        </w:rPr>
        <w:t>se sídlem Náměstí 70, 382 41 Kaplice</w:t>
      </w:r>
    </w:p>
    <w:p w:rsidR="006460B2" w:rsidRPr="004475B3" w:rsidRDefault="004475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4475B3">
        <w:rPr>
          <w:rFonts w:ascii="Georgia" w:eastAsia="Georgia" w:hAnsi="Georgia" w:cs="Georgia"/>
          <w:sz w:val="24"/>
          <w:szCs w:val="24"/>
        </w:rPr>
        <w:t>IČ: 00245941</w:t>
      </w:r>
    </w:p>
    <w:p w:rsidR="006460B2" w:rsidRPr="004475B3" w:rsidRDefault="004475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4475B3">
        <w:rPr>
          <w:rFonts w:ascii="Georgia" w:eastAsia="Georgia" w:hAnsi="Georgia" w:cs="Georgia"/>
          <w:sz w:val="24"/>
          <w:szCs w:val="24"/>
        </w:rPr>
        <w:t>DIČ: CZ00245941</w:t>
      </w:r>
    </w:p>
    <w:p w:rsidR="006460B2" w:rsidRDefault="004475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4475B3">
        <w:rPr>
          <w:rFonts w:ascii="Georgia" w:eastAsia="Georgia" w:hAnsi="Georgia" w:cs="Georgia"/>
          <w:sz w:val="24"/>
          <w:szCs w:val="24"/>
        </w:rPr>
        <w:t>zastoupen Mgr</w:t>
      </w:r>
      <w:r>
        <w:rPr>
          <w:rFonts w:ascii="Georgia" w:eastAsia="Georgia" w:hAnsi="Georgia" w:cs="Georgia"/>
          <w:sz w:val="24"/>
          <w:szCs w:val="24"/>
        </w:rPr>
        <w:t>. Pavlem Talířem, starostou města</w:t>
      </w:r>
    </w:p>
    <w:p w:rsidR="006460B2" w:rsidRDefault="004475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6460B2" w:rsidRDefault="004475B3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6460B2" w:rsidRDefault="006460B2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6460B2" w:rsidRDefault="004475B3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6460B2" w:rsidRDefault="004475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6460B2" w:rsidRDefault="004475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 : Jiráskova 1775, 390 02 Tábor</w:t>
      </w:r>
    </w:p>
    <w:p w:rsidR="006460B2" w:rsidRDefault="004475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:rsidR="006460B2" w:rsidRDefault="004475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předsedou představenstva Ing. Jiřím Šilhou</w:t>
      </w:r>
    </w:p>
    <w:p w:rsidR="006460B2" w:rsidRDefault="004475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6460B2" w:rsidRDefault="006460B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</w:p>
    <w:p w:rsidR="006460B2" w:rsidRDefault="006460B2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6460B2" w:rsidRDefault="004475B3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6460B2" w:rsidRDefault="006460B2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:rsidR="006460B2" w:rsidRDefault="006460B2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6460B2" w:rsidRDefault="00447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Zhotovitel provede převod dat ze stávajícího systému, dodávku a instalaci knihovního systému Tritius (dále jen “systém”) a objednatel za toto zaplatí dohodnutou cenu.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:rsidR="006460B2" w:rsidRDefault="006460B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460B2" w:rsidRDefault="00447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:rsidR="006460B2" w:rsidRDefault="004475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instalace a konfigurace systému v hostingovém centru,</w:t>
      </w:r>
    </w:p>
    <w:p w:rsidR="006460B2" w:rsidRDefault="004475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:rsidR="006460B2" w:rsidRDefault="004475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:rsidR="006460B2" w:rsidRDefault="004475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:rsidR="006460B2" w:rsidRDefault="004475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:rsidR="006460B2" w:rsidRDefault="006460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6460B2" w:rsidRDefault="00447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:rsidR="006460B2" w:rsidRDefault="004475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:rsidR="006460B2" w:rsidRDefault="004475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Technické požadavky na provoz systému Tritius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6460B2" w:rsidRDefault="006460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6460B2" w:rsidRDefault="006460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6460B2" w:rsidRDefault="004475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Cena</w:t>
      </w:r>
    </w:p>
    <w:p w:rsidR="006460B2" w:rsidRDefault="004475B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a"/>
        <w:tblW w:w="8145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6460B2">
        <w:tc>
          <w:tcPr>
            <w:tcW w:w="5250" w:type="dxa"/>
            <w:shd w:val="clear" w:color="auto" w:fill="D9D9D9"/>
          </w:tcPr>
          <w:p w:rsidR="006460B2" w:rsidRDefault="00447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:rsidR="006460B2" w:rsidRDefault="00447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</w:t>
            </w:r>
          </w:p>
        </w:tc>
      </w:tr>
      <w:tr w:rsidR="006460B2">
        <w:tc>
          <w:tcPr>
            <w:tcW w:w="5250" w:type="dxa"/>
          </w:tcPr>
          <w:p w:rsidR="006460B2" w:rsidRDefault="00447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Upgrade licence Tritius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do 50 000 sv. </w:t>
            </w:r>
          </w:p>
        </w:tc>
        <w:tc>
          <w:tcPr>
            <w:tcW w:w="2895" w:type="dxa"/>
          </w:tcPr>
          <w:p w:rsidR="006460B2" w:rsidRDefault="00447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142 240,00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Kč</w:t>
            </w:r>
          </w:p>
        </w:tc>
      </w:tr>
      <w:tr w:rsidR="006460B2">
        <w:tc>
          <w:tcPr>
            <w:tcW w:w="5250" w:type="dxa"/>
          </w:tcPr>
          <w:p w:rsidR="006460B2" w:rsidRDefault="00447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systému (vč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převodu dat)</w:t>
            </w:r>
          </w:p>
        </w:tc>
        <w:tc>
          <w:tcPr>
            <w:tcW w:w="2895" w:type="dxa"/>
          </w:tcPr>
          <w:p w:rsidR="006460B2" w:rsidRDefault="00447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21 336,00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6460B2">
        <w:tc>
          <w:tcPr>
            <w:tcW w:w="5250" w:type="dxa"/>
          </w:tcPr>
          <w:p w:rsidR="006460B2" w:rsidRDefault="00447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:rsidR="006460B2" w:rsidRDefault="00447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163 576,00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6460B2">
        <w:tc>
          <w:tcPr>
            <w:tcW w:w="5250" w:type="dxa"/>
          </w:tcPr>
          <w:p w:rsidR="006460B2" w:rsidRDefault="00447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:rsidR="006460B2" w:rsidRDefault="00447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197 926,96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poskytovatele spojené s implementací systému. Součástí nejsou činnosti, vícepráce a dodávky, které byly dohodnuty až po podpisu této smlouvy.</w:t>
      </w:r>
    </w:p>
    <w:p w:rsidR="006460B2" w:rsidRDefault="006460B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460B2" w:rsidRDefault="004475B3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6460B2" w:rsidRDefault="004475B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otestování.</w:t>
      </w:r>
    </w:p>
    <w:p w:rsidR="006460B2" w:rsidRDefault="004475B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6460B2" w:rsidRDefault="006460B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460B2" w:rsidRDefault="004475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6460B2" w:rsidRDefault="004475B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a0"/>
        <w:tblW w:w="8145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265"/>
        <w:gridCol w:w="2415"/>
      </w:tblGrid>
      <w:tr w:rsidR="006460B2">
        <w:tc>
          <w:tcPr>
            <w:tcW w:w="3465" w:type="dxa"/>
            <w:shd w:val="clear" w:color="auto" w:fill="D9D9D9"/>
          </w:tcPr>
          <w:p w:rsidR="006460B2" w:rsidRDefault="004475B3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265" w:type="dxa"/>
            <w:shd w:val="clear" w:color="auto" w:fill="D9D9D9"/>
          </w:tcPr>
          <w:p w:rsidR="006460B2" w:rsidRDefault="004475B3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415" w:type="dxa"/>
            <w:shd w:val="clear" w:color="auto" w:fill="D9D9D9"/>
          </w:tcPr>
          <w:p w:rsidR="006460B2" w:rsidRDefault="004475B3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6460B2">
        <w:tc>
          <w:tcPr>
            <w:tcW w:w="3465" w:type="dxa"/>
          </w:tcPr>
          <w:p w:rsidR="006460B2" w:rsidRDefault="004475B3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Poskytnutí údajů pro instalaci</w:t>
            </w:r>
          </w:p>
        </w:tc>
        <w:tc>
          <w:tcPr>
            <w:tcW w:w="2265" w:type="dxa"/>
          </w:tcPr>
          <w:p w:rsidR="006460B2" w:rsidRDefault="004475B3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20 dnů ode dne uzavření smlouvy</w:t>
            </w:r>
          </w:p>
        </w:tc>
        <w:tc>
          <w:tcPr>
            <w:tcW w:w="2415" w:type="dxa"/>
          </w:tcPr>
          <w:p w:rsidR="006460B2" w:rsidRDefault="004475B3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6460B2">
        <w:tc>
          <w:tcPr>
            <w:tcW w:w="3465" w:type="dxa"/>
          </w:tcPr>
          <w:p w:rsidR="006460B2" w:rsidRDefault="004475B3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případně  testovací převod)</w:t>
            </w:r>
          </w:p>
        </w:tc>
        <w:tc>
          <w:tcPr>
            <w:tcW w:w="2265" w:type="dxa"/>
          </w:tcPr>
          <w:p w:rsidR="006460B2" w:rsidRDefault="004475B3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30 dnů ode dne uzavření smlouvy</w:t>
            </w:r>
          </w:p>
        </w:tc>
        <w:tc>
          <w:tcPr>
            <w:tcW w:w="2415" w:type="dxa"/>
          </w:tcPr>
          <w:p w:rsidR="006460B2" w:rsidRDefault="004475B3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 SW připravenosti</w:t>
            </w:r>
          </w:p>
        </w:tc>
      </w:tr>
      <w:tr w:rsidR="006460B2">
        <w:tc>
          <w:tcPr>
            <w:tcW w:w="3465" w:type="dxa"/>
          </w:tcPr>
          <w:p w:rsidR="006460B2" w:rsidRDefault="004475B3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265" w:type="dxa"/>
          </w:tcPr>
          <w:p w:rsidR="006460B2" w:rsidRDefault="004475B3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40 dnů ode dne uzavření smlouvy</w:t>
            </w:r>
          </w:p>
        </w:tc>
        <w:tc>
          <w:tcPr>
            <w:tcW w:w="2415" w:type="dxa"/>
          </w:tcPr>
          <w:p w:rsidR="006460B2" w:rsidRDefault="004475B3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3-4 osoby</w:t>
            </w:r>
          </w:p>
        </w:tc>
      </w:tr>
      <w:tr w:rsidR="006460B2">
        <w:tc>
          <w:tcPr>
            <w:tcW w:w="3465" w:type="dxa"/>
          </w:tcPr>
          <w:p w:rsidR="006460B2" w:rsidRDefault="004475B3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265" w:type="dxa"/>
          </w:tcPr>
          <w:p w:rsidR="006460B2" w:rsidRDefault="004475B3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60 dnů ode dne uzavření smlouvy</w:t>
            </w:r>
          </w:p>
        </w:tc>
        <w:tc>
          <w:tcPr>
            <w:tcW w:w="2415" w:type="dxa"/>
          </w:tcPr>
          <w:p w:rsidR="006460B2" w:rsidRDefault="004475B3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 SW připravenosti</w:t>
            </w:r>
          </w:p>
        </w:tc>
      </w:tr>
    </w:tbl>
    <w:p w:rsidR="006460B2" w:rsidRDefault="004475B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:rsidR="006460B2" w:rsidRDefault="004475B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</w:p>
    <w:p w:rsidR="006460B2" w:rsidRDefault="004475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usí být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zhotovitelem nastaven podle specifických podmínek objednatele (tiskové výstupy, definice provozů, konfigurace výpůjčního systému, nastavení uživatelských práv).</w:t>
      </w:r>
    </w:p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 a přitom jej dále používat.</w:t>
      </w:r>
    </w:p>
    <w:p w:rsidR="006460B2" w:rsidRDefault="004475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6460B2" w:rsidRDefault="004475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:rsidR="006460B2" w:rsidRDefault="004475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 </w:t>
      </w:r>
    </w:p>
    <w:p w:rsidR="006460B2" w:rsidRDefault="006460B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6460B2" w:rsidRDefault="004475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:rsidR="006460B2" w:rsidRDefault="004475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6460B2" w:rsidRDefault="006460B2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:rsidR="006460B2" w:rsidRDefault="00447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první rok po instalaci je v ceně licence systému, tj. do 31.12.2020. Objednatel hradí veškeré náklady na instalaci update a na případné školení, pokud není uzavřena servisní smlouva.</w:t>
      </w:r>
    </w:p>
    <w:p w:rsidR="006460B2" w:rsidRDefault="006460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6460B2" w:rsidRDefault="00447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nařízení evropského parlamentu č. 2006/679 o ochraně osobních údajů fyzických osob (GDPR).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6460B2" w:rsidRDefault="006460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460B2" w:rsidRDefault="00447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6460B2" w:rsidRDefault="006460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6460B2" w:rsidRDefault="00447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:rsidR="006460B2" w:rsidRDefault="004475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:rsidR="006460B2" w:rsidRDefault="006460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6460B2" w:rsidRDefault="00447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v souladu s právními předpisy EU řídí právním řádem České republiky, zejména podle ustanovení § 2586 a násl. zákona č. 89/2012 Sb., občanského zákoníku.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6460B2" w:rsidRDefault="004475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Předávací protokol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6460B2" w:rsidRDefault="004475B3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změněna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6460B2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6460B2" w:rsidRDefault="004475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národním registru smluv v souladu s platnou legislativou.   </w:t>
      </w:r>
    </w:p>
    <w:p w:rsidR="006460B2" w:rsidRPr="004475B3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Tato smlouva je uzavřena okamžikem jejího podpisu. Je platná a účinná dnem následujícím po zveřejnění v národním registru smluv v souladu s platnou legislativou pro povinné osoby.</w:t>
      </w:r>
    </w:p>
    <w:p w:rsidR="004475B3" w:rsidRDefault="004475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Tato smlouva byla schválena Radou města Kaplice dne 16.10.2019, č. usnesení</w:t>
      </w:r>
      <w:r w:rsidR="00B208DD">
        <w:rPr>
          <w:rFonts w:ascii="Georgia" w:eastAsia="Georgia" w:hAnsi="Georgia" w:cs="Georgia"/>
          <w:sz w:val="22"/>
          <w:szCs w:val="22"/>
        </w:rPr>
        <w:t xml:space="preserve"> 640</w:t>
      </w:r>
      <w:bookmarkStart w:id="0" w:name="_GoBack"/>
      <w:bookmarkEnd w:id="0"/>
    </w:p>
    <w:p w:rsidR="006460B2" w:rsidRDefault="006460B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460B2" w:rsidRDefault="006460B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460B2" w:rsidRDefault="006460B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460B2" w:rsidRDefault="004475B3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 w:rsidRPr="004475B3">
        <w:rPr>
          <w:rFonts w:ascii="Georgia" w:eastAsia="Georgia" w:hAnsi="Georgia" w:cs="Georgia"/>
          <w:sz w:val="22"/>
          <w:szCs w:val="22"/>
        </w:rPr>
        <w:tab/>
      </w:r>
      <w:r w:rsidR="00B208DD">
        <w:rPr>
          <w:rFonts w:ascii="Georgia" w:eastAsia="Georgia" w:hAnsi="Georgia" w:cs="Georgia"/>
          <w:sz w:val="22"/>
          <w:szCs w:val="22"/>
        </w:rPr>
        <w:t>21.10.2019</w:t>
      </w:r>
      <w:r w:rsidRPr="004475B3">
        <w:rPr>
          <w:rFonts w:ascii="Georgia" w:eastAsia="Georgia" w:hAnsi="Georgia" w:cs="Georgia"/>
          <w:sz w:val="22"/>
          <w:szCs w:val="22"/>
        </w:rPr>
        <w:tab/>
      </w:r>
      <w:r w:rsidRPr="004475B3">
        <w:rPr>
          <w:rFonts w:ascii="Georgia" w:eastAsia="Georgia" w:hAnsi="Georgia" w:cs="Georgia"/>
          <w:sz w:val="22"/>
          <w:szCs w:val="22"/>
        </w:rPr>
        <w:tab/>
      </w:r>
      <w:r w:rsidRPr="004475B3">
        <w:rPr>
          <w:rFonts w:ascii="Georgia" w:eastAsia="Georgia" w:hAnsi="Georgia" w:cs="Georgia"/>
          <w:sz w:val="22"/>
          <w:szCs w:val="22"/>
        </w:rPr>
        <w:tab/>
      </w:r>
      <w:r w:rsidRPr="004475B3">
        <w:rPr>
          <w:rFonts w:ascii="Georgia" w:eastAsia="Georgia" w:hAnsi="Georgia" w:cs="Georgia"/>
          <w:sz w:val="22"/>
          <w:szCs w:val="22"/>
        </w:rPr>
        <w:tab/>
        <w:t>V  Kaplici</w:t>
      </w:r>
      <w:r>
        <w:rPr>
          <w:rFonts w:ascii="Georgia" w:eastAsia="Georgia" w:hAnsi="Georgia" w:cs="Georgia"/>
          <w:sz w:val="22"/>
          <w:szCs w:val="22"/>
        </w:rPr>
        <w:t xml:space="preserve"> dne</w:t>
      </w:r>
      <w:r>
        <w:rPr>
          <w:rFonts w:ascii="Georgia" w:eastAsia="Georgia" w:hAnsi="Georgia" w:cs="Georgia"/>
          <w:sz w:val="22"/>
          <w:szCs w:val="22"/>
        </w:rPr>
        <w:tab/>
      </w:r>
      <w:r w:rsidR="00B208DD">
        <w:rPr>
          <w:rFonts w:ascii="Georgia" w:eastAsia="Georgia" w:hAnsi="Georgia" w:cs="Georgia"/>
          <w:sz w:val="22"/>
          <w:szCs w:val="22"/>
        </w:rPr>
        <w:t>23.10.2019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</w:p>
    <w:p w:rsidR="006460B2" w:rsidRDefault="006460B2">
      <w:pPr>
        <w:rPr>
          <w:rFonts w:ascii="Georgia" w:eastAsia="Georgia" w:hAnsi="Georgia" w:cs="Georgia"/>
          <w:sz w:val="22"/>
          <w:szCs w:val="22"/>
        </w:rPr>
      </w:pPr>
    </w:p>
    <w:p w:rsidR="006460B2" w:rsidRDefault="004475B3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6460B2" w:rsidRDefault="004475B3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předseda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Pr="004475B3">
        <w:rPr>
          <w:rFonts w:ascii="Georgia" w:eastAsia="Georgia" w:hAnsi="Georgia" w:cs="Georgia"/>
          <w:sz w:val="22"/>
          <w:szCs w:val="22"/>
        </w:rPr>
        <w:t>Mgr. Pavel Talíř, starosta města</w:t>
      </w:r>
    </w:p>
    <w:p w:rsidR="006460B2" w:rsidRDefault="004475B3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  <w:highlight w:val="yellow"/>
        </w:rPr>
      </w:pP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6460B2" w:rsidRDefault="006460B2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1" w:name="_ecoyp9kn0sx6" w:colFirst="0" w:colLast="0"/>
      <w:bookmarkEnd w:id="1"/>
    </w:p>
    <w:sectPr w:rsidR="006460B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7A" w:rsidRDefault="004475B3">
      <w:pPr>
        <w:spacing w:after="0" w:line="240" w:lineRule="auto"/>
      </w:pPr>
      <w:r>
        <w:separator/>
      </w:r>
    </w:p>
  </w:endnote>
  <w:endnote w:type="continuationSeparator" w:id="0">
    <w:p w:rsidR="0025237A" w:rsidRDefault="0044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B2" w:rsidRDefault="004475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08DD">
      <w:rPr>
        <w:noProof/>
        <w:color w:val="000000"/>
      </w:rPr>
      <w:t>4</w:t>
    </w:r>
    <w:r>
      <w:rPr>
        <w:color w:val="000000"/>
      </w:rPr>
      <w:fldChar w:fldCharType="end"/>
    </w:r>
  </w:p>
  <w:p w:rsidR="006460B2" w:rsidRDefault="006460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7A" w:rsidRDefault="004475B3">
      <w:pPr>
        <w:spacing w:after="0" w:line="240" w:lineRule="auto"/>
      </w:pPr>
      <w:r>
        <w:separator/>
      </w:r>
    </w:p>
  </w:footnote>
  <w:footnote w:type="continuationSeparator" w:id="0">
    <w:p w:rsidR="0025237A" w:rsidRDefault="0044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B2" w:rsidRDefault="004475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SA-SH-C-SK</w:t>
    </w:r>
    <w:r>
      <w:rPr>
        <w:color w:val="000000"/>
        <w:sz w:val="16"/>
        <w:szCs w:val="16"/>
      </w:rPr>
      <w:t xml:space="preserve">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201808</w:t>
    </w:r>
    <w:r>
      <w:rPr>
        <w:sz w:val="16"/>
        <w:szCs w:val="16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173CD"/>
    <w:multiLevelType w:val="multilevel"/>
    <w:tmpl w:val="8234968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B2"/>
    <w:rsid w:val="0025237A"/>
    <w:rsid w:val="004475B3"/>
    <w:rsid w:val="006460B2"/>
    <w:rsid w:val="00B2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D5D4C-A6E0-4F3E-9669-A36DEB11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Putzerová</dc:creator>
  <cp:lastModifiedBy>Putzerová Ivana</cp:lastModifiedBy>
  <cp:revision>3</cp:revision>
  <dcterms:created xsi:type="dcterms:W3CDTF">2019-10-16T10:43:00Z</dcterms:created>
  <dcterms:modified xsi:type="dcterms:W3CDTF">2019-10-23T06:12:00Z</dcterms:modified>
</cp:coreProperties>
</file>