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9A88" w14:textId="77777777" w:rsidR="00B0280C" w:rsidRPr="001513D7" w:rsidRDefault="001B6837" w:rsidP="00C61AEF">
      <w:pPr>
        <w:pStyle w:val="Bezmezer"/>
        <w:spacing w:line="271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513D7">
        <w:rPr>
          <w:rFonts w:cstheme="minorHAnsi"/>
          <w:b/>
          <w:sz w:val="24"/>
          <w:szCs w:val="24"/>
        </w:rPr>
        <w:t>Smlouva</w:t>
      </w:r>
      <w:r w:rsidR="00C61AEF" w:rsidRPr="001513D7">
        <w:rPr>
          <w:rFonts w:cstheme="minorHAnsi"/>
          <w:b/>
          <w:sz w:val="24"/>
          <w:szCs w:val="24"/>
        </w:rPr>
        <w:t xml:space="preserve"> na administraci realizační fáze projektu</w:t>
      </w:r>
    </w:p>
    <w:p w14:paraId="711519E9" w14:textId="77777777"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FFCED" w14:textId="77777777" w:rsidR="001B6837" w:rsidRP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1BE6DE8D" w14:textId="77777777" w:rsidR="001B6077" w:rsidRPr="001513D7" w:rsidRDefault="001B6077" w:rsidP="009E6FC3">
      <w:pPr>
        <w:spacing w:after="0" w:line="271" w:lineRule="auto"/>
        <w:rPr>
          <w:rFonts w:eastAsia="Times New Roman" w:cstheme="minorHAnsi"/>
          <w:sz w:val="20"/>
          <w:szCs w:val="20"/>
          <w:lang w:eastAsia="cs-CZ"/>
        </w:rPr>
      </w:pPr>
      <w:r w:rsidRPr="001513D7">
        <w:rPr>
          <w:rFonts w:eastAsia="Times New Roman" w:cstheme="minorHAnsi"/>
          <w:sz w:val="20"/>
          <w:szCs w:val="20"/>
          <w:lang w:eastAsia="cs-CZ"/>
        </w:rPr>
        <w:t>Smluvní strany:</w:t>
      </w:r>
    </w:p>
    <w:p w14:paraId="02F48185" w14:textId="77777777" w:rsidR="001B6077" w:rsidRPr="001513D7" w:rsidRDefault="001B6077" w:rsidP="009E6FC3">
      <w:pPr>
        <w:spacing w:after="0" w:line="271" w:lineRule="auto"/>
        <w:rPr>
          <w:rFonts w:eastAsia="Times New Roman" w:cstheme="minorHAnsi"/>
          <w:sz w:val="20"/>
          <w:szCs w:val="20"/>
          <w:lang w:eastAsia="cs-CZ"/>
        </w:rPr>
      </w:pPr>
    </w:p>
    <w:p w14:paraId="46D8267B" w14:textId="77777777" w:rsidR="0009579C" w:rsidRPr="00F15669" w:rsidRDefault="0009579C" w:rsidP="0009579C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490F1A" w14:textId="77777777" w:rsidR="0009579C" w:rsidRPr="0009579C" w:rsidRDefault="0009579C" w:rsidP="0009579C">
      <w:pPr>
        <w:pStyle w:val="Bezmezer"/>
        <w:spacing w:line="271" w:lineRule="auto"/>
        <w:jc w:val="center"/>
        <w:rPr>
          <w:rFonts w:cstheme="minorHAnsi"/>
          <w:b/>
          <w:sz w:val="20"/>
          <w:szCs w:val="20"/>
        </w:rPr>
      </w:pPr>
      <w:r w:rsidRPr="0009579C">
        <w:rPr>
          <w:rFonts w:cstheme="minorHAnsi"/>
          <w:b/>
          <w:sz w:val="20"/>
          <w:szCs w:val="20"/>
        </w:rPr>
        <w:t>Vyšší odborná škola grafická a Střední průmyslová škola grafická, Praha 1, Hellichova 22</w:t>
      </w:r>
    </w:p>
    <w:p w14:paraId="26D55128" w14:textId="77777777" w:rsidR="0009579C" w:rsidRPr="0009579C" w:rsidRDefault="0009579C" w:rsidP="0009579C">
      <w:pPr>
        <w:pStyle w:val="Bezmezer"/>
        <w:spacing w:line="271" w:lineRule="auto"/>
        <w:jc w:val="center"/>
        <w:rPr>
          <w:rFonts w:cstheme="minorHAnsi"/>
          <w:bCs/>
          <w:sz w:val="20"/>
          <w:szCs w:val="20"/>
        </w:rPr>
      </w:pPr>
      <w:r w:rsidRPr="0009579C">
        <w:rPr>
          <w:rFonts w:cstheme="minorHAnsi"/>
          <w:bCs/>
          <w:sz w:val="20"/>
          <w:szCs w:val="20"/>
        </w:rPr>
        <w:t xml:space="preserve">se sídlem Hellichova 535/22, 118 00, Praha 1 </w:t>
      </w:r>
    </w:p>
    <w:p w14:paraId="609736FB" w14:textId="77777777" w:rsidR="0009579C" w:rsidRPr="0009579C" w:rsidRDefault="0009579C" w:rsidP="0009579C">
      <w:pPr>
        <w:pStyle w:val="Bezmezer"/>
        <w:spacing w:line="271" w:lineRule="auto"/>
        <w:jc w:val="center"/>
        <w:rPr>
          <w:rFonts w:cstheme="minorHAnsi"/>
          <w:bCs/>
          <w:sz w:val="20"/>
          <w:szCs w:val="20"/>
        </w:rPr>
      </w:pPr>
      <w:r w:rsidRPr="0009579C">
        <w:rPr>
          <w:rFonts w:cstheme="minorHAnsi"/>
          <w:bCs/>
          <w:sz w:val="20"/>
          <w:szCs w:val="20"/>
        </w:rPr>
        <w:t>IČO: 70837783</w:t>
      </w:r>
    </w:p>
    <w:p w14:paraId="24253804" w14:textId="77777777" w:rsidR="0009579C" w:rsidRPr="0009579C" w:rsidRDefault="0009579C" w:rsidP="0009579C">
      <w:pPr>
        <w:pStyle w:val="Bezmezer"/>
        <w:spacing w:line="271" w:lineRule="auto"/>
        <w:jc w:val="center"/>
        <w:rPr>
          <w:rFonts w:cstheme="minorHAnsi"/>
          <w:bCs/>
          <w:sz w:val="20"/>
          <w:szCs w:val="20"/>
        </w:rPr>
      </w:pPr>
      <w:r w:rsidRPr="0009579C">
        <w:rPr>
          <w:rFonts w:cstheme="minorHAnsi"/>
          <w:bCs/>
          <w:sz w:val="20"/>
          <w:szCs w:val="20"/>
        </w:rPr>
        <w:t>kterou zastupuje Ing. Radek Blahák, ředitel</w:t>
      </w:r>
    </w:p>
    <w:p w14:paraId="65882F87" w14:textId="42E2BC75" w:rsidR="001B6077" w:rsidRPr="001513D7" w:rsidRDefault="0009579C" w:rsidP="0009579C">
      <w:pPr>
        <w:spacing w:after="0"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 xml:space="preserve"> </w:t>
      </w:r>
      <w:r w:rsidR="001B6077" w:rsidRPr="001513D7">
        <w:rPr>
          <w:rFonts w:cstheme="minorHAnsi"/>
          <w:sz w:val="20"/>
          <w:szCs w:val="20"/>
        </w:rPr>
        <w:t>(dále jen "</w:t>
      </w:r>
      <w:r w:rsidR="001B6077" w:rsidRPr="001513D7">
        <w:rPr>
          <w:rFonts w:cstheme="minorHAnsi"/>
          <w:b/>
          <w:sz w:val="20"/>
          <w:szCs w:val="20"/>
        </w:rPr>
        <w:t>objednatel</w:t>
      </w:r>
      <w:r w:rsidR="001B6077" w:rsidRPr="001513D7">
        <w:rPr>
          <w:rFonts w:cstheme="minorHAnsi"/>
          <w:sz w:val="20"/>
          <w:szCs w:val="20"/>
        </w:rPr>
        <w:t>")</w:t>
      </w:r>
    </w:p>
    <w:p w14:paraId="3494403C" w14:textId="77777777" w:rsidR="001B6077" w:rsidRPr="001513D7" w:rsidRDefault="001B6077" w:rsidP="001513D7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</w:p>
    <w:p w14:paraId="367110BE" w14:textId="77777777" w:rsidR="001B6837" w:rsidRPr="001513D7" w:rsidRDefault="001B6077" w:rsidP="001513D7">
      <w:pPr>
        <w:spacing w:after="0"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a</w:t>
      </w:r>
    </w:p>
    <w:p w14:paraId="2A9C25C9" w14:textId="77777777" w:rsidR="00C61AEF" w:rsidRPr="001513D7" w:rsidRDefault="00C61AEF" w:rsidP="001513D7">
      <w:pPr>
        <w:pStyle w:val="Bezmezer"/>
        <w:spacing w:line="271" w:lineRule="auto"/>
        <w:jc w:val="center"/>
        <w:rPr>
          <w:rFonts w:cstheme="minorHAnsi"/>
          <w:b/>
          <w:sz w:val="20"/>
          <w:szCs w:val="20"/>
        </w:rPr>
      </w:pPr>
    </w:p>
    <w:p w14:paraId="436264EA" w14:textId="77777777" w:rsidR="00C61AEF" w:rsidRPr="001513D7" w:rsidRDefault="00C61AEF" w:rsidP="001513D7">
      <w:pPr>
        <w:pStyle w:val="Bezmezer"/>
        <w:spacing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Jiří Znamenáček</w:t>
      </w:r>
    </w:p>
    <w:p w14:paraId="30C63721" w14:textId="77777777" w:rsidR="00C61AEF" w:rsidRPr="001513D7" w:rsidRDefault="00C61AEF" w:rsidP="001513D7">
      <w:pPr>
        <w:pStyle w:val="Bezmezer"/>
        <w:spacing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 xml:space="preserve">se sídlem </w:t>
      </w:r>
      <w:proofErr w:type="spellStart"/>
      <w:r w:rsidRPr="001513D7">
        <w:rPr>
          <w:rFonts w:cstheme="minorHAnsi"/>
          <w:sz w:val="20"/>
          <w:szCs w:val="20"/>
        </w:rPr>
        <w:t>Podvinný</w:t>
      </w:r>
      <w:proofErr w:type="spellEnd"/>
      <w:r w:rsidRPr="001513D7">
        <w:rPr>
          <w:rFonts w:cstheme="minorHAnsi"/>
          <w:sz w:val="20"/>
          <w:szCs w:val="20"/>
        </w:rPr>
        <w:t xml:space="preserve"> mlýn 2126/1, 190 00, Praha</w:t>
      </w:r>
    </w:p>
    <w:p w14:paraId="3F3DC9D3" w14:textId="77777777" w:rsidR="00C61AEF" w:rsidRPr="001513D7" w:rsidRDefault="00C61AEF" w:rsidP="001513D7">
      <w:pPr>
        <w:pStyle w:val="Bezmezer"/>
        <w:spacing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IČO: 07044402</w:t>
      </w:r>
    </w:p>
    <w:p w14:paraId="40747F84" w14:textId="77777777" w:rsidR="001B6077" w:rsidRPr="001513D7" w:rsidRDefault="001B6077" w:rsidP="001513D7">
      <w:pPr>
        <w:spacing w:after="0"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(dále jen "</w:t>
      </w:r>
      <w:r w:rsidRPr="001513D7">
        <w:rPr>
          <w:rFonts w:cstheme="minorHAnsi"/>
          <w:b/>
          <w:sz w:val="20"/>
          <w:szCs w:val="20"/>
        </w:rPr>
        <w:t>dodavatel</w:t>
      </w:r>
      <w:r w:rsidRPr="001513D7">
        <w:rPr>
          <w:rFonts w:cstheme="minorHAnsi"/>
          <w:sz w:val="20"/>
          <w:szCs w:val="20"/>
        </w:rPr>
        <w:t>")</w:t>
      </w:r>
    </w:p>
    <w:p w14:paraId="504CB8F4" w14:textId="77777777" w:rsidR="001B6077" w:rsidRPr="001513D7" w:rsidRDefault="001B6077" w:rsidP="009E6FC3">
      <w:pPr>
        <w:spacing w:after="0" w:line="271" w:lineRule="auto"/>
        <w:rPr>
          <w:rFonts w:cstheme="minorHAnsi"/>
          <w:sz w:val="20"/>
          <w:szCs w:val="20"/>
        </w:rPr>
      </w:pPr>
    </w:p>
    <w:p w14:paraId="2A6045DA" w14:textId="77777777" w:rsidR="001B6077" w:rsidRPr="001513D7" w:rsidRDefault="001B6077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 xml:space="preserve">uzavírají dále uvedeného dne, měsíce a roku </w:t>
      </w:r>
      <w:r w:rsidR="009E6FC3" w:rsidRPr="001513D7">
        <w:rPr>
          <w:rFonts w:cstheme="minorHAnsi"/>
          <w:sz w:val="20"/>
          <w:szCs w:val="20"/>
        </w:rPr>
        <w:t xml:space="preserve">podle § 1746 odst. 2 zákona č. 89/2012 Sb., občanského zákoníku, </w:t>
      </w:r>
      <w:r w:rsidRPr="001513D7">
        <w:rPr>
          <w:rFonts w:cstheme="minorHAnsi"/>
          <w:sz w:val="20"/>
          <w:szCs w:val="20"/>
        </w:rPr>
        <w:t xml:space="preserve">tuto </w:t>
      </w:r>
      <w:r w:rsidRPr="001513D7">
        <w:rPr>
          <w:rFonts w:cstheme="minorHAnsi"/>
          <w:b/>
          <w:sz w:val="20"/>
          <w:szCs w:val="20"/>
        </w:rPr>
        <w:t xml:space="preserve">smlouvu </w:t>
      </w:r>
      <w:r w:rsidR="00C61AEF" w:rsidRPr="001513D7">
        <w:rPr>
          <w:rFonts w:cstheme="minorHAnsi"/>
          <w:b/>
          <w:sz w:val="20"/>
          <w:szCs w:val="20"/>
        </w:rPr>
        <w:t xml:space="preserve">na administraci realizační fáze projektu </w:t>
      </w:r>
      <w:r w:rsidRPr="001513D7">
        <w:rPr>
          <w:rFonts w:cstheme="minorHAnsi"/>
          <w:sz w:val="20"/>
          <w:szCs w:val="20"/>
        </w:rPr>
        <w:t>(dále jen "</w:t>
      </w:r>
      <w:r w:rsidRPr="001513D7">
        <w:rPr>
          <w:rFonts w:cstheme="minorHAnsi"/>
          <w:b/>
          <w:sz w:val="20"/>
          <w:szCs w:val="20"/>
        </w:rPr>
        <w:t>smlouva</w:t>
      </w:r>
      <w:r w:rsidRPr="001513D7">
        <w:rPr>
          <w:rFonts w:cstheme="minorHAnsi"/>
          <w:sz w:val="20"/>
          <w:szCs w:val="20"/>
        </w:rPr>
        <w:t>")</w:t>
      </w:r>
      <w:r w:rsidR="00EC05A8" w:rsidRPr="001513D7">
        <w:rPr>
          <w:rFonts w:cstheme="minorHAnsi"/>
          <w:sz w:val="20"/>
          <w:szCs w:val="20"/>
        </w:rPr>
        <w:t>.</w:t>
      </w:r>
    </w:p>
    <w:p w14:paraId="4A649489" w14:textId="77777777" w:rsidR="00EC05A8" w:rsidRPr="001513D7" w:rsidRDefault="00EC05A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ab/>
      </w:r>
    </w:p>
    <w:p w14:paraId="0FA32B88" w14:textId="77777777" w:rsidR="00EC05A8" w:rsidRPr="001513D7" w:rsidRDefault="00EC05A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01C9B922" w14:textId="77777777" w:rsidR="00EC05A8" w:rsidRPr="001513D7" w:rsidRDefault="00EC05A8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Čl. I</w:t>
      </w:r>
    </w:p>
    <w:p w14:paraId="32CFEDB9" w14:textId="77777777" w:rsidR="00EC05A8" w:rsidRPr="001513D7" w:rsidRDefault="00A20284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Předmět smlouvy</w:t>
      </w:r>
    </w:p>
    <w:p w14:paraId="6DDF97AA" w14:textId="77777777" w:rsidR="00A20284" w:rsidRPr="001513D7" w:rsidRDefault="00A20284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</w:p>
    <w:p w14:paraId="35CA5436" w14:textId="1AE42438" w:rsidR="00284FE8" w:rsidRPr="001513D7" w:rsidRDefault="00284FE8" w:rsidP="00284FE8">
      <w:pPr>
        <w:ind w:left="83"/>
        <w:jc w:val="both"/>
        <w:rPr>
          <w:rFonts w:cstheme="minorHAnsi"/>
          <w:sz w:val="20"/>
          <w:szCs w:val="20"/>
          <w:highlight w:val="yellow"/>
        </w:rPr>
      </w:pPr>
      <w:r w:rsidRPr="001513D7">
        <w:rPr>
          <w:rFonts w:cstheme="minorHAnsi"/>
          <w:sz w:val="20"/>
          <w:szCs w:val="20"/>
        </w:rPr>
        <w:t>1</w:t>
      </w:r>
      <w:r w:rsidR="00A20284" w:rsidRPr="001513D7">
        <w:rPr>
          <w:rFonts w:cstheme="minorHAnsi"/>
          <w:sz w:val="20"/>
          <w:szCs w:val="20"/>
        </w:rPr>
        <w:t>.1</w:t>
      </w:r>
      <w:r w:rsidR="00A20284" w:rsidRPr="001513D7">
        <w:rPr>
          <w:rFonts w:cstheme="minorHAnsi"/>
          <w:sz w:val="20"/>
          <w:szCs w:val="20"/>
        </w:rPr>
        <w:tab/>
      </w:r>
      <w:r w:rsidR="00C61AEF" w:rsidRPr="001513D7">
        <w:rPr>
          <w:rFonts w:cstheme="minorHAnsi"/>
          <w:sz w:val="20"/>
          <w:szCs w:val="20"/>
        </w:rPr>
        <w:t>Dodavatel se zavazuje poskytnout objednateli níže uvedené služby v projektu „</w:t>
      </w:r>
      <w:r w:rsidR="0009579C" w:rsidRPr="0009579C">
        <w:rPr>
          <w:rFonts w:cstheme="minorHAnsi"/>
          <w:sz w:val="20"/>
          <w:szCs w:val="20"/>
        </w:rPr>
        <w:t>Modernizace laboratoře chemie a analýzy materiálů na Střední průmyslové škole grafické</w:t>
      </w:r>
      <w:r w:rsidRPr="001513D7">
        <w:rPr>
          <w:rFonts w:cstheme="minorHAnsi"/>
          <w:sz w:val="20"/>
          <w:szCs w:val="20"/>
        </w:rPr>
        <w:t xml:space="preserve">“, </w:t>
      </w:r>
      <w:proofErr w:type="spellStart"/>
      <w:r w:rsidRPr="001513D7">
        <w:rPr>
          <w:rFonts w:cstheme="minorHAnsi"/>
          <w:sz w:val="20"/>
          <w:szCs w:val="20"/>
        </w:rPr>
        <w:t>reg</w:t>
      </w:r>
      <w:proofErr w:type="spellEnd"/>
      <w:r w:rsidRPr="001513D7">
        <w:rPr>
          <w:rFonts w:cstheme="minorHAnsi"/>
          <w:sz w:val="20"/>
          <w:szCs w:val="20"/>
        </w:rPr>
        <w:t xml:space="preserve">. č. </w:t>
      </w:r>
      <w:r w:rsidR="0009579C" w:rsidRPr="0009579C">
        <w:rPr>
          <w:rFonts w:cstheme="minorHAnsi"/>
          <w:sz w:val="20"/>
          <w:szCs w:val="20"/>
        </w:rPr>
        <w:t>CZ.07.4.67/0.0/0.0/17_054/0000973</w:t>
      </w:r>
      <w:r w:rsidRPr="001513D7">
        <w:rPr>
          <w:rFonts w:cstheme="minorHAnsi"/>
          <w:sz w:val="20"/>
          <w:szCs w:val="20"/>
        </w:rPr>
        <w:t>, na jehož realizaci objednatel obdržel podporu z 37. výzvy Operačního programu Praha – pól růstu ČR:</w:t>
      </w:r>
    </w:p>
    <w:p w14:paraId="2E0D7469" w14:textId="77777777" w:rsidR="00284FE8" w:rsidRPr="001513D7" w:rsidRDefault="00602A87" w:rsidP="00284FE8">
      <w:pPr>
        <w:pStyle w:val="Odstavecseseznamem"/>
        <w:numPr>
          <w:ilvl w:val="0"/>
          <w:numId w:val="9"/>
        </w:numPr>
        <w:spacing w:after="0" w:line="271" w:lineRule="auto"/>
        <w:jc w:val="both"/>
        <w:rPr>
          <w:rFonts w:cstheme="minorHAnsi"/>
          <w:bCs/>
          <w:sz w:val="20"/>
          <w:szCs w:val="20"/>
        </w:rPr>
      </w:pPr>
      <w:r w:rsidRPr="001513D7">
        <w:rPr>
          <w:rFonts w:cstheme="minorHAnsi"/>
          <w:bCs/>
          <w:sz w:val="20"/>
          <w:szCs w:val="20"/>
        </w:rPr>
        <w:t xml:space="preserve">Administrace realizační fáze projektu </w:t>
      </w:r>
    </w:p>
    <w:p w14:paraId="55379CFC" w14:textId="77777777" w:rsidR="00602A87" w:rsidRPr="001513D7" w:rsidRDefault="00284FE8" w:rsidP="00284FE8">
      <w:pPr>
        <w:pStyle w:val="Odstavecseseznamem"/>
        <w:numPr>
          <w:ilvl w:val="0"/>
          <w:numId w:val="9"/>
        </w:numPr>
        <w:spacing w:after="0" w:line="271" w:lineRule="auto"/>
        <w:jc w:val="both"/>
        <w:rPr>
          <w:rFonts w:cstheme="minorHAnsi"/>
          <w:bCs/>
          <w:sz w:val="20"/>
          <w:szCs w:val="20"/>
        </w:rPr>
      </w:pPr>
      <w:r w:rsidRPr="001513D7">
        <w:rPr>
          <w:rFonts w:cstheme="minorHAnsi"/>
          <w:bCs/>
          <w:sz w:val="20"/>
          <w:szCs w:val="20"/>
        </w:rPr>
        <w:t>Vy</w:t>
      </w:r>
      <w:r w:rsidR="00602A87" w:rsidRPr="001513D7">
        <w:rPr>
          <w:rFonts w:cstheme="minorHAnsi"/>
          <w:bCs/>
          <w:sz w:val="20"/>
          <w:szCs w:val="20"/>
        </w:rPr>
        <w:t>pracování zprávy o realizaci a žádosti o platbu</w:t>
      </w:r>
    </w:p>
    <w:p w14:paraId="518E5C44" w14:textId="77777777" w:rsidR="00284FE8" w:rsidRPr="001513D7" w:rsidRDefault="00284FE8" w:rsidP="00284FE8">
      <w:pPr>
        <w:pStyle w:val="Odstavecseseznamem"/>
        <w:numPr>
          <w:ilvl w:val="0"/>
          <w:numId w:val="9"/>
        </w:num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bCs/>
          <w:sz w:val="20"/>
          <w:szCs w:val="20"/>
        </w:rPr>
        <w:t>Komunikace s poskytovatelem podpory Magistrátem hl. m. Prahy</w:t>
      </w:r>
    </w:p>
    <w:p w14:paraId="5D768C0C" w14:textId="77777777" w:rsidR="00602A87" w:rsidRPr="001513D7" w:rsidRDefault="00602A87" w:rsidP="00602A87">
      <w:pPr>
        <w:spacing w:after="0" w:line="271" w:lineRule="auto"/>
        <w:jc w:val="both"/>
        <w:rPr>
          <w:rFonts w:cstheme="minorHAnsi"/>
          <w:bCs/>
          <w:sz w:val="20"/>
          <w:szCs w:val="20"/>
        </w:rPr>
      </w:pPr>
    </w:p>
    <w:p w14:paraId="27E77F0E" w14:textId="77777777" w:rsidR="004C4532" w:rsidRPr="001513D7" w:rsidRDefault="004C4532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7701F5A1" w14:textId="77777777" w:rsidR="00A20284" w:rsidRPr="001513D7" w:rsidRDefault="00A2028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21390E83" w14:textId="77777777" w:rsidR="00A20284" w:rsidRPr="001513D7" w:rsidRDefault="00A20284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Čl. II</w:t>
      </w:r>
    </w:p>
    <w:p w14:paraId="24EE7628" w14:textId="77777777" w:rsidR="00A20284" w:rsidRPr="001513D7" w:rsidRDefault="00A20284" w:rsidP="009E6FC3">
      <w:pPr>
        <w:spacing w:after="0"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Další práva a povinnosti</w:t>
      </w:r>
    </w:p>
    <w:p w14:paraId="6B37A9B5" w14:textId="77777777" w:rsidR="00A20284" w:rsidRPr="001513D7" w:rsidRDefault="00A20284" w:rsidP="009E6FC3">
      <w:pPr>
        <w:spacing w:after="0" w:line="271" w:lineRule="auto"/>
        <w:jc w:val="center"/>
        <w:rPr>
          <w:rFonts w:cstheme="minorHAnsi"/>
          <w:sz w:val="20"/>
          <w:szCs w:val="20"/>
        </w:rPr>
      </w:pPr>
    </w:p>
    <w:p w14:paraId="5176620A" w14:textId="77777777" w:rsidR="00A20284" w:rsidRPr="001513D7" w:rsidRDefault="00284FE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2</w:t>
      </w:r>
      <w:r w:rsidR="00A20284" w:rsidRPr="001513D7">
        <w:rPr>
          <w:rFonts w:cstheme="minorHAnsi"/>
          <w:sz w:val="20"/>
          <w:szCs w:val="20"/>
        </w:rPr>
        <w:t>.1</w:t>
      </w:r>
      <w:r w:rsidR="00A20284" w:rsidRPr="001513D7">
        <w:rPr>
          <w:rFonts w:cstheme="minorHAnsi"/>
          <w:sz w:val="20"/>
          <w:szCs w:val="20"/>
        </w:rPr>
        <w:tab/>
        <w:t xml:space="preserve">Dodavatel se zavazuje, že při poskytování služeb bude </w:t>
      </w:r>
      <w:r w:rsidR="00144775" w:rsidRPr="001513D7">
        <w:rPr>
          <w:rFonts w:cstheme="minorHAnsi"/>
          <w:sz w:val="20"/>
          <w:szCs w:val="20"/>
        </w:rPr>
        <w:t xml:space="preserve">postupovat s potřebnou odbornou </w:t>
      </w:r>
      <w:r w:rsidR="00A20284" w:rsidRPr="001513D7">
        <w:rPr>
          <w:rFonts w:cstheme="minorHAnsi"/>
          <w:sz w:val="20"/>
          <w:szCs w:val="20"/>
        </w:rPr>
        <w:t>péčí, v souladu se zájmy objednatele a při respektování obec</w:t>
      </w:r>
      <w:r w:rsidR="00144775" w:rsidRPr="001513D7">
        <w:rPr>
          <w:rFonts w:cstheme="minorHAnsi"/>
          <w:sz w:val="20"/>
          <w:szCs w:val="20"/>
        </w:rPr>
        <w:t xml:space="preserve">ně závazných právních předpisů. </w:t>
      </w:r>
      <w:r w:rsidR="00A20284" w:rsidRPr="001513D7">
        <w:rPr>
          <w:rFonts w:cstheme="minorHAnsi"/>
          <w:sz w:val="20"/>
          <w:szCs w:val="20"/>
        </w:rPr>
        <w:t>Dodavatel neodpovídá za škodu, která by vznikla objednateli předáním neúplných nebo</w:t>
      </w:r>
      <w:r w:rsidR="00144775" w:rsidRPr="001513D7">
        <w:rPr>
          <w:rFonts w:cstheme="minorHAnsi"/>
          <w:sz w:val="20"/>
          <w:szCs w:val="20"/>
        </w:rPr>
        <w:t xml:space="preserve"> </w:t>
      </w:r>
      <w:r w:rsidR="00A20284" w:rsidRPr="001513D7">
        <w:rPr>
          <w:rFonts w:cstheme="minorHAnsi"/>
          <w:sz w:val="20"/>
          <w:szCs w:val="20"/>
        </w:rPr>
        <w:t>nesprávných informací nebo podkladů objednatelem či v důsledku prodlení o</w:t>
      </w:r>
      <w:r w:rsidR="00144775" w:rsidRPr="001513D7">
        <w:rPr>
          <w:rFonts w:cstheme="minorHAnsi"/>
          <w:sz w:val="20"/>
          <w:szCs w:val="20"/>
        </w:rPr>
        <w:t xml:space="preserve">bjednatele </w:t>
      </w:r>
      <w:r w:rsidR="00A20284" w:rsidRPr="001513D7">
        <w:rPr>
          <w:rFonts w:cstheme="minorHAnsi"/>
          <w:sz w:val="20"/>
          <w:szCs w:val="20"/>
        </w:rPr>
        <w:t>s poskytnutím součinnosti potřebné pro plnění předmětu této smlouvy.</w:t>
      </w:r>
    </w:p>
    <w:p w14:paraId="459BF904" w14:textId="77777777" w:rsidR="00A20284" w:rsidRPr="001513D7" w:rsidRDefault="00A2028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0BACF110" w14:textId="77777777" w:rsidR="00EB4B54" w:rsidRPr="001513D7" w:rsidRDefault="00284FE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2</w:t>
      </w:r>
      <w:r w:rsidR="00A20284" w:rsidRPr="001513D7">
        <w:rPr>
          <w:rFonts w:cstheme="minorHAnsi"/>
          <w:sz w:val="20"/>
          <w:szCs w:val="20"/>
        </w:rPr>
        <w:t>.2</w:t>
      </w:r>
      <w:r w:rsidR="00A20284" w:rsidRPr="001513D7">
        <w:rPr>
          <w:rFonts w:cstheme="minorHAnsi"/>
          <w:sz w:val="20"/>
          <w:szCs w:val="20"/>
        </w:rPr>
        <w:tab/>
        <w:t>Dodavatel se zavazuje zejména:</w:t>
      </w:r>
    </w:p>
    <w:p w14:paraId="04A8A7CA" w14:textId="77777777" w:rsidR="00EB4B54" w:rsidRPr="001513D7" w:rsidRDefault="00EB4B5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5539B3F8" w14:textId="77777777" w:rsidR="00A20284" w:rsidRPr="001513D7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zachovávat mlčenlivost o všech skutečnostech, o nichž se dozvěděl</w:t>
      </w:r>
      <w:r w:rsidR="00EB4B54" w:rsidRPr="001513D7">
        <w:rPr>
          <w:rFonts w:cstheme="minorHAnsi"/>
          <w:sz w:val="20"/>
          <w:szCs w:val="20"/>
        </w:rPr>
        <w:t xml:space="preserve"> v souvislosti </w:t>
      </w:r>
      <w:r w:rsidRPr="001513D7">
        <w:rPr>
          <w:rFonts w:cstheme="minorHAnsi"/>
          <w:sz w:val="20"/>
          <w:szCs w:val="20"/>
        </w:rPr>
        <w:t>s poskytováním služeb, a které lze považovat za součást o</w:t>
      </w:r>
      <w:r w:rsidR="00EB4B54" w:rsidRPr="001513D7">
        <w:rPr>
          <w:rFonts w:cstheme="minorHAnsi"/>
          <w:sz w:val="20"/>
          <w:szCs w:val="20"/>
        </w:rPr>
        <w:t xml:space="preserve">bchodního tajemství </w:t>
      </w:r>
      <w:r w:rsidRPr="001513D7">
        <w:rPr>
          <w:rFonts w:cstheme="minorHAnsi"/>
          <w:sz w:val="20"/>
          <w:szCs w:val="20"/>
        </w:rPr>
        <w:t>objednatele;</w:t>
      </w:r>
    </w:p>
    <w:p w14:paraId="21BA04CA" w14:textId="77777777" w:rsidR="00EB4B54" w:rsidRPr="001513D7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lastRenderedPageBreak/>
        <w:t>informovat objednatele o nových skutečnostech, které mají z hlediska poskytnutí dotace pro účely této smlouvy rozhodující význam;</w:t>
      </w:r>
    </w:p>
    <w:p w14:paraId="78568F19" w14:textId="77777777" w:rsidR="00A20284" w:rsidRPr="001513D7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řádně pečovat o věci a doklady převzaté od objednatele.</w:t>
      </w:r>
    </w:p>
    <w:p w14:paraId="2BBCAA7E" w14:textId="77777777" w:rsidR="00A20284" w:rsidRPr="001513D7" w:rsidRDefault="00A2028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7FE579B6" w14:textId="77777777" w:rsidR="00EB4B54" w:rsidRPr="001513D7" w:rsidRDefault="00284FE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2</w:t>
      </w:r>
      <w:r w:rsidR="00A20284" w:rsidRPr="001513D7">
        <w:rPr>
          <w:rFonts w:cstheme="minorHAnsi"/>
          <w:sz w:val="20"/>
          <w:szCs w:val="20"/>
        </w:rPr>
        <w:t>.3</w:t>
      </w:r>
      <w:r w:rsidR="00A20284" w:rsidRPr="001513D7">
        <w:rPr>
          <w:rFonts w:cstheme="minorHAnsi"/>
          <w:sz w:val="20"/>
          <w:szCs w:val="20"/>
        </w:rPr>
        <w:tab/>
        <w:t>Objednatel se zavazuje zejména:</w:t>
      </w:r>
    </w:p>
    <w:p w14:paraId="217B486F" w14:textId="77777777" w:rsidR="00EB4B54" w:rsidRPr="001513D7" w:rsidRDefault="00EB4B5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119693FB" w14:textId="77777777" w:rsidR="00EB4B54" w:rsidRPr="001513D7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poskytovat dodavateli nezbytnou součinnost a potřebn</w:t>
      </w:r>
      <w:r w:rsidR="00EB4B54" w:rsidRPr="001513D7">
        <w:rPr>
          <w:rFonts w:cstheme="minorHAnsi"/>
          <w:sz w:val="20"/>
          <w:szCs w:val="20"/>
        </w:rPr>
        <w:t xml:space="preserve">é podklady v provedení, rozsahu </w:t>
      </w:r>
      <w:r w:rsidRPr="001513D7">
        <w:rPr>
          <w:rFonts w:cstheme="minorHAnsi"/>
          <w:sz w:val="20"/>
          <w:szCs w:val="20"/>
        </w:rPr>
        <w:t>a v dohodnutých lhůtách</w:t>
      </w:r>
      <w:r w:rsidR="001513D7" w:rsidRPr="001513D7">
        <w:rPr>
          <w:rFonts w:cstheme="minorHAnsi"/>
          <w:sz w:val="20"/>
          <w:szCs w:val="20"/>
        </w:rPr>
        <w:t>,</w:t>
      </w:r>
      <w:r w:rsidRPr="001513D7">
        <w:rPr>
          <w:rFonts w:cstheme="minorHAnsi"/>
          <w:sz w:val="20"/>
          <w:szCs w:val="20"/>
        </w:rPr>
        <w:t xml:space="preserve"> jak bude nutné pro řádné provedení</w:t>
      </w:r>
      <w:r w:rsidR="00EB4B54" w:rsidRPr="001513D7">
        <w:rPr>
          <w:rFonts w:cstheme="minorHAnsi"/>
          <w:sz w:val="20"/>
          <w:szCs w:val="20"/>
        </w:rPr>
        <w:t xml:space="preserve"> služeb</w:t>
      </w:r>
      <w:r w:rsidR="0052319F" w:rsidRPr="001513D7">
        <w:rPr>
          <w:rFonts w:cstheme="minorHAnsi"/>
          <w:sz w:val="20"/>
          <w:szCs w:val="20"/>
        </w:rPr>
        <w:t xml:space="preserve">; </w:t>
      </w:r>
    </w:p>
    <w:p w14:paraId="58B7CCDD" w14:textId="77777777" w:rsidR="00EB4B54" w:rsidRPr="001513D7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informovat dodavatele o všech zásadních změnách, které mohou ovlivnit rozsah a termíny poskytnutí služeb a samotné dotace.</w:t>
      </w:r>
    </w:p>
    <w:p w14:paraId="1E3B1B78" w14:textId="77777777" w:rsidR="00156CE6" w:rsidRPr="001513D7" w:rsidRDefault="00156CE6" w:rsidP="00156CE6">
      <w:pPr>
        <w:pStyle w:val="Odstavecseseznamem"/>
        <w:spacing w:after="0" w:line="271" w:lineRule="auto"/>
        <w:ind w:left="1418"/>
        <w:jc w:val="both"/>
        <w:rPr>
          <w:rFonts w:cstheme="minorHAnsi"/>
          <w:sz w:val="20"/>
          <w:szCs w:val="20"/>
        </w:rPr>
      </w:pPr>
    </w:p>
    <w:p w14:paraId="5C99949F" w14:textId="77777777" w:rsidR="00156CE6" w:rsidRPr="001513D7" w:rsidRDefault="00284FE8" w:rsidP="00156CE6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2</w:t>
      </w:r>
      <w:r w:rsidR="00156CE6" w:rsidRPr="001513D7">
        <w:rPr>
          <w:rFonts w:cstheme="minorHAnsi"/>
          <w:sz w:val="20"/>
          <w:szCs w:val="20"/>
        </w:rPr>
        <w:t>.4.</w:t>
      </w:r>
      <w:r w:rsidR="00156CE6" w:rsidRPr="001513D7">
        <w:rPr>
          <w:rFonts w:cstheme="minorHAnsi"/>
          <w:sz w:val="20"/>
          <w:szCs w:val="20"/>
        </w:rPr>
        <w:tab/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objednatel.</w:t>
      </w:r>
    </w:p>
    <w:p w14:paraId="0AE7834A" w14:textId="77777777" w:rsidR="00EB4B54" w:rsidRPr="001513D7" w:rsidRDefault="00EB4B5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6EA45418" w14:textId="77777777" w:rsidR="00EB4B54" w:rsidRPr="001513D7" w:rsidRDefault="00EB4B54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Čl. I</w:t>
      </w:r>
      <w:r w:rsidR="001513D7" w:rsidRPr="001513D7">
        <w:rPr>
          <w:rFonts w:cstheme="minorHAnsi"/>
          <w:b/>
          <w:sz w:val="20"/>
          <w:szCs w:val="20"/>
        </w:rPr>
        <w:t>II</w:t>
      </w:r>
    </w:p>
    <w:p w14:paraId="313B0EFC" w14:textId="77777777" w:rsidR="00EB4B54" w:rsidRPr="001513D7" w:rsidRDefault="00AE0065" w:rsidP="009E6FC3">
      <w:pPr>
        <w:spacing w:after="0" w:line="271" w:lineRule="auto"/>
        <w:jc w:val="center"/>
        <w:rPr>
          <w:rFonts w:cstheme="minorHAnsi"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Odměna za služby</w:t>
      </w:r>
    </w:p>
    <w:p w14:paraId="41BAB389" w14:textId="77777777" w:rsidR="00AE0065" w:rsidRPr="001513D7" w:rsidRDefault="00AE0065" w:rsidP="009E6FC3">
      <w:pPr>
        <w:spacing w:after="0" w:line="271" w:lineRule="auto"/>
        <w:jc w:val="center"/>
        <w:rPr>
          <w:rFonts w:cstheme="minorHAnsi"/>
          <w:sz w:val="20"/>
          <w:szCs w:val="20"/>
        </w:rPr>
      </w:pPr>
    </w:p>
    <w:p w14:paraId="32866E61" w14:textId="16A81DE0" w:rsidR="00AE0065" w:rsidRPr="001513D7" w:rsidRDefault="001513D7" w:rsidP="009A6A06">
      <w:pPr>
        <w:spacing w:after="0" w:line="271" w:lineRule="auto"/>
        <w:jc w:val="both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3</w:t>
      </w:r>
      <w:r w:rsidR="00AE0065" w:rsidRPr="001513D7">
        <w:rPr>
          <w:rFonts w:cstheme="minorHAnsi"/>
          <w:sz w:val="20"/>
          <w:szCs w:val="20"/>
        </w:rPr>
        <w:t>.1</w:t>
      </w:r>
      <w:r w:rsidR="00AE0065" w:rsidRPr="001513D7">
        <w:rPr>
          <w:rFonts w:cstheme="minorHAnsi"/>
          <w:sz w:val="20"/>
          <w:szCs w:val="20"/>
        </w:rPr>
        <w:tab/>
        <w:t>Objednatel se za poskytnutí služeb definovaných v této smlouvě zavazuje zaplatit d</w:t>
      </w:r>
      <w:r w:rsidR="00144775" w:rsidRPr="001513D7">
        <w:rPr>
          <w:rFonts w:cstheme="minorHAnsi"/>
          <w:sz w:val="20"/>
          <w:szCs w:val="20"/>
        </w:rPr>
        <w:t xml:space="preserve">odavateli </w:t>
      </w:r>
      <w:r w:rsidR="00AE0065" w:rsidRPr="001513D7">
        <w:rPr>
          <w:rFonts w:cstheme="minorHAnsi"/>
          <w:sz w:val="20"/>
          <w:szCs w:val="20"/>
        </w:rPr>
        <w:t xml:space="preserve">odměnu ve výši </w:t>
      </w:r>
      <w:r w:rsidR="00284FE8" w:rsidRPr="001513D7">
        <w:rPr>
          <w:rFonts w:cstheme="minorHAnsi"/>
          <w:sz w:val="20"/>
          <w:szCs w:val="20"/>
        </w:rPr>
        <w:t>7</w:t>
      </w:r>
      <w:r w:rsidR="0009579C">
        <w:rPr>
          <w:rFonts w:cstheme="minorHAnsi"/>
          <w:sz w:val="20"/>
          <w:szCs w:val="20"/>
        </w:rPr>
        <w:t>9</w:t>
      </w:r>
      <w:r w:rsidR="00284FE8" w:rsidRPr="001513D7">
        <w:rPr>
          <w:rFonts w:cstheme="minorHAnsi"/>
          <w:sz w:val="20"/>
          <w:szCs w:val="20"/>
        </w:rPr>
        <w:t xml:space="preserve"> 000</w:t>
      </w:r>
      <w:r w:rsidR="0052319F" w:rsidRPr="001513D7">
        <w:rPr>
          <w:rFonts w:cstheme="minorHAnsi"/>
          <w:sz w:val="20"/>
          <w:szCs w:val="20"/>
        </w:rPr>
        <w:t xml:space="preserve"> tis. Kč</w:t>
      </w:r>
      <w:r w:rsidR="009766C9" w:rsidRPr="001513D7">
        <w:rPr>
          <w:rFonts w:cstheme="minorHAnsi"/>
          <w:sz w:val="20"/>
          <w:szCs w:val="20"/>
        </w:rPr>
        <w:t xml:space="preserve">. </w:t>
      </w:r>
      <w:r w:rsidR="00284FE8" w:rsidRPr="001513D7">
        <w:rPr>
          <w:rFonts w:cstheme="minorHAnsi"/>
          <w:sz w:val="20"/>
          <w:szCs w:val="20"/>
        </w:rPr>
        <w:t>Daňový doklad ve výši 7</w:t>
      </w:r>
      <w:r w:rsidR="0009579C">
        <w:rPr>
          <w:rFonts w:cstheme="minorHAnsi"/>
          <w:sz w:val="20"/>
          <w:szCs w:val="20"/>
        </w:rPr>
        <w:t>9</w:t>
      </w:r>
      <w:r w:rsidR="00284FE8" w:rsidRPr="001513D7">
        <w:rPr>
          <w:rFonts w:cstheme="minorHAnsi"/>
          <w:sz w:val="20"/>
          <w:szCs w:val="20"/>
        </w:rPr>
        <w:t> 000 Kč bude vystaven dodavatelem</w:t>
      </w:r>
      <w:r w:rsidRPr="001513D7">
        <w:rPr>
          <w:rFonts w:cstheme="minorHAnsi"/>
          <w:sz w:val="20"/>
          <w:szCs w:val="20"/>
        </w:rPr>
        <w:t xml:space="preserve"> na konci realizace projektu.</w:t>
      </w:r>
      <w:r w:rsidR="00284FE8" w:rsidRPr="001513D7">
        <w:rPr>
          <w:rFonts w:cstheme="minorHAnsi"/>
          <w:sz w:val="20"/>
          <w:szCs w:val="20"/>
        </w:rPr>
        <w:t xml:space="preserve"> </w:t>
      </w:r>
      <w:r w:rsidRPr="001513D7">
        <w:rPr>
          <w:rFonts w:cstheme="minorHAnsi"/>
          <w:sz w:val="20"/>
          <w:szCs w:val="20"/>
        </w:rPr>
        <w:t xml:space="preserve">Splatnost daňového dokladu bude 14 dní </w:t>
      </w:r>
      <w:r w:rsidR="009A6A06" w:rsidRPr="001513D7">
        <w:rPr>
          <w:rFonts w:cstheme="minorHAnsi"/>
          <w:sz w:val="20"/>
          <w:szCs w:val="20"/>
        </w:rPr>
        <w:t xml:space="preserve">Vystavený daňový doklad (faktura) musí obsahovat náležitosti ve smyslu zákona č. 235/2004 Sb., o dani z přidané hodnoty a náležitosti podle § 435 občanského zákoníku. </w:t>
      </w:r>
    </w:p>
    <w:p w14:paraId="6A455062" w14:textId="77777777" w:rsidR="00DB7BE4" w:rsidRPr="001513D7" w:rsidRDefault="00DB7BE4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7C7FF214" w14:textId="77777777" w:rsidR="00DD1878" w:rsidRPr="001513D7" w:rsidRDefault="00DD1878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5376F30F" w14:textId="7978C542" w:rsidR="00B718FF" w:rsidRPr="001513D7" w:rsidRDefault="00B718FF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 xml:space="preserve">Čl. </w:t>
      </w:r>
      <w:r w:rsidR="0009579C">
        <w:rPr>
          <w:rFonts w:cstheme="minorHAnsi"/>
          <w:b/>
          <w:sz w:val="20"/>
          <w:szCs w:val="20"/>
        </w:rPr>
        <w:t>I</w:t>
      </w:r>
      <w:r w:rsidRPr="001513D7">
        <w:rPr>
          <w:rFonts w:cstheme="minorHAnsi"/>
          <w:b/>
          <w:sz w:val="20"/>
          <w:szCs w:val="20"/>
        </w:rPr>
        <w:t>V</w:t>
      </w:r>
    </w:p>
    <w:p w14:paraId="155761CA" w14:textId="77777777" w:rsidR="00B718FF" w:rsidRPr="001513D7" w:rsidRDefault="00B718FF" w:rsidP="009E6FC3">
      <w:pPr>
        <w:spacing w:after="0" w:line="271" w:lineRule="auto"/>
        <w:jc w:val="center"/>
        <w:rPr>
          <w:rFonts w:cstheme="minorHAnsi"/>
          <w:b/>
          <w:sz w:val="20"/>
          <w:szCs w:val="20"/>
        </w:rPr>
      </w:pPr>
      <w:r w:rsidRPr="001513D7">
        <w:rPr>
          <w:rFonts w:cstheme="minorHAnsi"/>
          <w:b/>
          <w:sz w:val="20"/>
          <w:szCs w:val="20"/>
        </w:rPr>
        <w:t>Závěrečná ustanovení</w:t>
      </w:r>
    </w:p>
    <w:p w14:paraId="544F45F8" w14:textId="77777777" w:rsidR="00B718FF" w:rsidRPr="001513D7" w:rsidRDefault="00B718FF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003C0ECB" w14:textId="599D78C5" w:rsidR="009E6FC3" w:rsidRPr="001513D7" w:rsidRDefault="0009579C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B718FF" w:rsidRPr="001513D7">
        <w:rPr>
          <w:rFonts w:cstheme="minorHAnsi"/>
          <w:sz w:val="20"/>
          <w:szCs w:val="20"/>
        </w:rPr>
        <w:t>.1</w:t>
      </w:r>
      <w:r w:rsidR="00B718FF" w:rsidRPr="001513D7">
        <w:rPr>
          <w:rFonts w:cstheme="minorHAnsi"/>
          <w:sz w:val="20"/>
          <w:szCs w:val="20"/>
        </w:rPr>
        <w:tab/>
        <w:t xml:space="preserve">Tato Smlouva </w:t>
      </w:r>
      <w:r w:rsidR="009E6FC3" w:rsidRPr="001513D7">
        <w:rPr>
          <w:rFonts w:cstheme="minorHAnsi"/>
          <w:sz w:val="20"/>
          <w:szCs w:val="20"/>
        </w:rPr>
        <w:t>se uzavírá na dobu určitou v</w:t>
      </w:r>
      <w:r w:rsidR="001513D7" w:rsidRPr="001513D7">
        <w:rPr>
          <w:rFonts w:cstheme="minorHAnsi"/>
          <w:sz w:val="20"/>
          <w:szCs w:val="20"/>
        </w:rPr>
        <w:t> </w:t>
      </w:r>
      <w:r w:rsidR="009E6FC3" w:rsidRPr="001513D7">
        <w:rPr>
          <w:rFonts w:cstheme="minorHAnsi"/>
          <w:sz w:val="20"/>
          <w:szCs w:val="20"/>
        </w:rPr>
        <w:t>délce</w:t>
      </w:r>
      <w:r w:rsidR="001513D7" w:rsidRPr="001513D7">
        <w:rPr>
          <w:rFonts w:cstheme="minorHAnsi"/>
          <w:sz w:val="20"/>
          <w:szCs w:val="20"/>
        </w:rPr>
        <w:t xml:space="preserve"> trvání</w:t>
      </w:r>
      <w:r w:rsidR="009E6FC3" w:rsidRPr="001513D7">
        <w:rPr>
          <w:rFonts w:cstheme="minorHAnsi"/>
          <w:sz w:val="20"/>
          <w:szCs w:val="20"/>
        </w:rPr>
        <w:t xml:space="preserve"> </w:t>
      </w:r>
      <w:r w:rsidR="001513D7" w:rsidRPr="001513D7">
        <w:rPr>
          <w:rFonts w:cstheme="minorHAnsi"/>
          <w:sz w:val="20"/>
          <w:szCs w:val="20"/>
        </w:rPr>
        <w:t>realizace projektu a schvalování závěrečné zprávy o realizaci a žádosti o platbu ze strany poskytovatele dotace.</w:t>
      </w:r>
      <w:r w:rsidR="009E6FC3" w:rsidRPr="001513D7">
        <w:rPr>
          <w:rFonts w:cstheme="minorHAnsi"/>
          <w:sz w:val="20"/>
          <w:szCs w:val="20"/>
        </w:rPr>
        <w:t xml:space="preserve"> </w:t>
      </w:r>
    </w:p>
    <w:p w14:paraId="1B10311A" w14:textId="77777777" w:rsidR="00D047BE" w:rsidRPr="001513D7" w:rsidRDefault="00D047BE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</w:p>
    <w:p w14:paraId="5738847E" w14:textId="6999C52B" w:rsidR="00D047BE" w:rsidRPr="001513D7" w:rsidRDefault="0009579C" w:rsidP="009E6FC3">
      <w:pPr>
        <w:spacing w:after="0" w:line="271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9E6FC3" w:rsidRPr="001513D7">
        <w:rPr>
          <w:rFonts w:cstheme="minorHAnsi"/>
          <w:sz w:val="20"/>
          <w:szCs w:val="20"/>
        </w:rPr>
        <w:t>.</w:t>
      </w:r>
      <w:r w:rsidR="00326F21">
        <w:rPr>
          <w:rFonts w:cstheme="minorHAnsi"/>
          <w:sz w:val="20"/>
          <w:szCs w:val="20"/>
        </w:rPr>
        <w:t>2</w:t>
      </w:r>
      <w:r w:rsidR="00D047BE" w:rsidRPr="001513D7">
        <w:rPr>
          <w:rFonts w:cstheme="minorHAnsi"/>
          <w:sz w:val="20"/>
          <w:szCs w:val="20"/>
        </w:rPr>
        <w:tab/>
        <w:t xml:space="preserve">Smluvní strany prohlašují, že si tuto Smlouvu řádně přečetly </w:t>
      </w:r>
      <w:r w:rsidR="00144775" w:rsidRPr="001513D7">
        <w:rPr>
          <w:rFonts w:cstheme="minorHAnsi"/>
          <w:sz w:val="20"/>
          <w:szCs w:val="20"/>
        </w:rPr>
        <w:t xml:space="preserve">a nemají k jejímu znění žádných </w:t>
      </w:r>
      <w:r w:rsidR="00D047BE" w:rsidRPr="001513D7">
        <w:rPr>
          <w:rFonts w:cstheme="minorHAnsi"/>
          <w:sz w:val="20"/>
          <w:szCs w:val="20"/>
        </w:rPr>
        <w:t>výhrad, což stvrzují níže uvedenými podpisy svých oprávněných zástupců.</w:t>
      </w:r>
    </w:p>
    <w:p w14:paraId="2E3FBA07" w14:textId="77777777" w:rsidR="00DE134B" w:rsidRPr="001513D7" w:rsidRDefault="00DE134B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</w:p>
    <w:p w14:paraId="5DD079BB" w14:textId="77777777" w:rsidR="00D047BE" w:rsidRPr="001513D7" w:rsidRDefault="00D047BE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 xml:space="preserve">V Praze dne </w:t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="00572A88"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 xml:space="preserve">V Praze dne </w:t>
      </w:r>
    </w:p>
    <w:p w14:paraId="21DAD6F3" w14:textId="77777777" w:rsidR="00D047BE" w:rsidRPr="001513D7" w:rsidRDefault="00D047BE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Objednatel:</w:t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="00572A88"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>Dodavatel:</w:t>
      </w:r>
    </w:p>
    <w:p w14:paraId="6374DDD9" w14:textId="77777777" w:rsidR="00D047BE" w:rsidRPr="001513D7" w:rsidRDefault="00D047BE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</w:p>
    <w:p w14:paraId="156FC92B" w14:textId="77777777" w:rsidR="001513D7" w:rsidRDefault="001513D7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</w:p>
    <w:p w14:paraId="7C852958" w14:textId="77777777" w:rsidR="00326F21" w:rsidRPr="001513D7" w:rsidRDefault="00326F21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</w:p>
    <w:p w14:paraId="1B90140D" w14:textId="77777777" w:rsidR="009E6FC3" w:rsidRPr="001513D7" w:rsidRDefault="009E6FC3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</w:p>
    <w:p w14:paraId="015DEC9A" w14:textId="77777777" w:rsidR="00D047BE" w:rsidRPr="001513D7" w:rsidRDefault="00D047BE" w:rsidP="009E6FC3">
      <w:pPr>
        <w:pStyle w:val="Bezmezer"/>
        <w:spacing w:line="271" w:lineRule="auto"/>
        <w:rPr>
          <w:rFonts w:cstheme="minorHAnsi"/>
          <w:sz w:val="20"/>
          <w:szCs w:val="20"/>
        </w:rPr>
      </w:pPr>
      <w:r w:rsidRPr="001513D7">
        <w:rPr>
          <w:rFonts w:cstheme="minorHAnsi"/>
          <w:sz w:val="20"/>
          <w:szCs w:val="20"/>
        </w:rPr>
        <w:t>.................................</w:t>
      </w:r>
      <w:r w:rsidR="0058320F" w:rsidRPr="001513D7">
        <w:rPr>
          <w:rFonts w:cstheme="minorHAnsi"/>
          <w:sz w:val="20"/>
          <w:szCs w:val="20"/>
        </w:rPr>
        <w:t>...................</w:t>
      </w:r>
      <w:r w:rsidRPr="001513D7">
        <w:rPr>
          <w:rFonts w:cstheme="minorHAnsi"/>
          <w:sz w:val="20"/>
          <w:szCs w:val="20"/>
        </w:rPr>
        <w:t>.....</w:t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ab/>
      </w:r>
      <w:r w:rsidR="00572A88" w:rsidRPr="001513D7">
        <w:rPr>
          <w:rFonts w:cstheme="minorHAnsi"/>
          <w:sz w:val="20"/>
          <w:szCs w:val="20"/>
        </w:rPr>
        <w:tab/>
      </w:r>
      <w:r w:rsidR="0045602D">
        <w:rPr>
          <w:rFonts w:cstheme="minorHAnsi"/>
          <w:sz w:val="20"/>
          <w:szCs w:val="20"/>
        </w:rPr>
        <w:tab/>
      </w:r>
      <w:r w:rsidRPr="001513D7">
        <w:rPr>
          <w:rFonts w:cstheme="minorHAnsi"/>
          <w:sz w:val="20"/>
          <w:szCs w:val="20"/>
        </w:rPr>
        <w:t>............................................</w:t>
      </w:r>
    </w:p>
    <w:p w14:paraId="0B4A7410" w14:textId="07FEFF62" w:rsidR="00D047BE" w:rsidRPr="001F13B2" w:rsidRDefault="0009579C" w:rsidP="001F13B2">
      <w:pPr>
        <w:spacing w:after="0" w:line="271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cstheme="minorHAnsi"/>
          <w:sz w:val="20"/>
          <w:szCs w:val="20"/>
        </w:rPr>
        <w:t>Ing</w:t>
      </w:r>
      <w:r w:rsidR="00572A88" w:rsidRPr="001513D7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Radek Blahák</w:t>
      </w:r>
      <w:r w:rsidR="0058320F" w:rsidRPr="001513D7">
        <w:rPr>
          <w:rFonts w:cstheme="minorHAnsi"/>
          <w:b/>
          <w:sz w:val="20"/>
          <w:szCs w:val="20"/>
        </w:rPr>
        <w:tab/>
      </w:r>
      <w:r w:rsidR="0058320F" w:rsidRPr="001513D7">
        <w:rPr>
          <w:rFonts w:cstheme="minorHAnsi"/>
          <w:b/>
          <w:sz w:val="20"/>
          <w:szCs w:val="20"/>
        </w:rPr>
        <w:tab/>
      </w:r>
      <w:r w:rsidR="0045602D">
        <w:rPr>
          <w:rFonts w:cstheme="minorHAnsi"/>
          <w:b/>
          <w:sz w:val="20"/>
          <w:szCs w:val="20"/>
        </w:rPr>
        <w:tab/>
      </w:r>
      <w:r w:rsidR="001F13B2">
        <w:rPr>
          <w:rFonts w:cstheme="minorHAnsi"/>
          <w:b/>
          <w:sz w:val="20"/>
          <w:szCs w:val="20"/>
        </w:rPr>
        <w:t xml:space="preserve">                                                               </w:t>
      </w:r>
      <w:r w:rsidR="00C72A83" w:rsidRPr="001513D7">
        <w:rPr>
          <w:rFonts w:cstheme="minorHAnsi"/>
          <w:sz w:val="20"/>
          <w:szCs w:val="20"/>
        </w:rPr>
        <w:t xml:space="preserve">Ing. </w:t>
      </w:r>
      <w:r w:rsidR="001513D7" w:rsidRPr="001513D7">
        <w:rPr>
          <w:rFonts w:cstheme="minorHAnsi"/>
          <w:sz w:val="20"/>
          <w:szCs w:val="20"/>
        </w:rPr>
        <w:t>Jiří Zname</w:t>
      </w:r>
      <w:r w:rsidR="001F13B2">
        <w:rPr>
          <w:rFonts w:cstheme="minorHAnsi"/>
          <w:sz w:val="20"/>
          <w:szCs w:val="20"/>
        </w:rPr>
        <w:t>náček</w:t>
      </w:r>
    </w:p>
    <w:sectPr w:rsidR="00D047BE" w:rsidRPr="001F13B2" w:rsidSect="007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8B9611A"/>
    <w:multiLevelType w:val="hybridMultilevel"/>
    <w:tmpl w:val="E888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0E61"/>
    <w:multiLevelType w:val="hybridMultilevel"/>
    <w:tmpl w:val="66E24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4739"/>
    <w:multiLevelType w:val="hybridMultilevel"/>
    <w:tmpl w:val="47029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03D98"/>
    <w:multiLevelType w:val="hybridMultilevel"/>
    <w:tmpl w:val="6BD8A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4376"/>
    <w:multiLevelType w:val="multilevel"/>
    <w:tmpl w:val="A4A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F"/>
    <w:rsid w:val="00092AE5"/>
    <w:rsid w:val="0009579C"/>
    <w:rsid w:val="000C1C3E"/>
    <w:rsid w:val="00123FAB"/>
    <w:rsid w:val="00144775"/>
    <w:rsid w:val="001513D7"/>
    <w:rsid w:val="00156CE6"/>
    <w:rsid w:val="001B6077"/>
    <w:rsid w:val="001B6837"/>
    <w:rsid w:val="001E3BE6"/>
    <w:rsid w:val="001F13B2"/>
    <w:rsid w:val="0027520F"/>
    <w:rsid w:val="00284FE8"/>
    <w:rsid w:val="00326F21"/>
    <w:rsid w:val="00383BCF"/>
    <w:rsid w:val="003A035F"/>
    <w:rsid w:val="003D7F99"/>
    <w:rsid w:val="00440A2F"/>
    <w:rsid w:val="0045602D"/>
    <w:rsid w:val="0046245B"/>
    <w:rsid w:val="004C4532"/>
    <w:rsid w:val="004F4DC3"/>
    <w:rsid w:val="0052319F"/>
    <w:rsid w:val="00564647"/>
    <w:rsid w:val="00572A88"/>
    <w:rsid w:val="0058320F"/>
    <w:rsid w:val="005C2AC8"/>
    <w:rsid w:val="00602A87"/>
    <w:rsid w:val="00645D20"/>
    <w:rsid w:val="006B4C34"/>
    <w:rsid w:val="00705A0A"/>
    <w:rsid w:val="00720988"/>
    <w:rsid w:val="00734256"/>
    <w:rsid w:val="00792D86"/>
    <w:rsid w:val="007B7B74"/>
    <w:rsid w:val="008D1212"/>
    <w:rsid w:val="009022AB"/>
    <w:rsid w:val="0097658D"/>
    <w:rsid w:val="009766C9"/>
    <w:rsid w:val="00992B28"/>
    <w:rsid w:val="00994DA6"/>
    <w:rsid w:val="009A6A06"/>
    <w:rsid w:val="009B4694"/>
    <w:rsid w:val="009D383D"/>
    <w:rsid w:val="009E6FC3"/>
    <w:rsid w:val="00A20284"/>
    <w:rsid w:val="00A419A7"/>
    <w:rsid w:val="00A87E83"/>
    <w:rsid w:val="00AE0065"/>
    <w:rsid w:val="00AE1F15"/>
    <w:rsid w:val="00AF56A6"/>
    <w:rsid w:val="00B0280C"/>
    <w:rsid w:val="00B718FF"/>
    <w:rsid w:val="00BB59E1"/>
    <w:rsid w:val="00C61AEF"/>
    <w:rsid w:val="00C72A83"/>
    <w:rsid w:val="00CD16C2"/>
    <w:rsid w:val="00D047BE"/>
    <w:rsid w:val="00D12336"/>
    <w:rsid w:val="00D8229D"/>
    <w:rsid w:val="00DB7BE4"/>
    <w:rsid w:val="00DD1878"/>
    <w:rsid w:val="00DE134B"/>
    <w:rsid w:val="00E14B48"/>
    <w:rsid w:val="00E71EEF"/>
    <w:rsid w:val="00EB4B54"/>
    <w:rsid w:val="00EC05A8"/>
    <w:rsid w:val="00F07BF1"/>
    <w:rsid w:val="00F15669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customStyle="1" w:styleId="tsubjname">
    <w:name w:val="tsubjname"/>
    <w:basedOn w:val="Standardnpsmoodstavce"/>
    <w:rsid w:val="00AF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customStyle="1" w:styleId="tsubjname">
    <w:name w:val="tsubjname"/>
    <w:basedOn w:val="Standardnpsmoodstavce"/>
    <w:rsid w:val="00AF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7848-D236-4AC1-9C37-77CB1934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Znamenáček</dc:creator>
  <cp:lastModifiedBy>SPSG</cp:lastModifiedBy>
  <cp:revision>2</cp:revision>
  <cp:lastPrinted>2019-07-07T17:10:00Z</cp:lastPrinted>
  <dcterms:created xsi:type="dcterms:W3CDTF">2019-10-22T13:16:00Z</dcterms:created>
  <dcterms:modified xsi:type="dcterms:W3CDTF">2019-10-22T13:16:00Z</dcterms:modified>
</cp:coreProperties>
</file>