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9-512/J9300/19/RS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MANIFOLD GROUP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Mikulášské náměstí 552/17, Plzeň 2-Slovany-Východní Předměstí, 32600Plzeň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26348764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CZ26348764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10/2019 až 05/2020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08.10.2019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akce:1/4/J93/00</w:t>
            </w:r>
          </w:p>
          <w:p w:rsidR="00C40F34" w:rsidRDefault="00A75460">
            <w:r>
              <w:t xml:space="preserve">Název akce:Optimalizace hydraulických poměrů, pásmo 237, ul. </w:t>
            </w:r>
            <w:r>
              <w:t>Choceradská, P4</w:t>
            </w:r>
          </w:p>
          <w:p w:rsidR="00C40F34" w:rsidRDefault="00C40F34"/>
          <w:p w:rsidR="00C40F34" w:rsidRDefault="00A75460">
            <w:r>
              <w:t>Objednáváme u Vás výkon činnosti koordinátora BOZP ve fázi realizace stavby.</w:t>
            </w:r>
          </w:p>
          <w:p w:rsidR="00C40F34" w:rsidRDefault="00A75460">
            <w:r>
              <w:t>Zpracování a aktualizace plánu BOZP, kontrolní činnost při výstavbě, zpracování zpráv z dohledu BOZP.</w:t>
            </w:r>
          </w:p>
          <w:p w:rsidR="00C40F34" w:rsidRDefault="00C40F34"/>
          <w:p w:rsidR="00C40F34" w:rsidRDefault="00C40F34"/>
          <w:p w:rsidR="00C40F34" w:rsidRDefault="00A75460">
            <w:r>
              <w:t>Celková cena dle Vaší cenové nabídky ze dne 3.9.2019 nepře</w:t>
            </w:r>
            <w:r>
              <w:t>sáhne částku 145000,-Kč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 pí. Jolany Uhlířové.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8"/>
      <w:headerReference w:type="first" r:id="rId9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5460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0F34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D6FA-099E-4BFD-BF49-AB2913BE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2019-10-22T13:07:00Z</dcterms:created>
  <dcterms:modified xsi:type="dcterms:W3CDTF">2019-10-22T13:07:00Z</dcterms:modified>
</cp:coreProperties>
</file>