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C8" w:rsidRPr="0023576E" w:rsidRDefault="00B826C8" w:rsidP="00B826C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F43F3" w:rsidRPr="0023576E" w:rsidRDefault="008711A8" w:rsidP="00B826C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Nemocnice Na Homolce</w:t>
      </w:r>
      <w:r w:rsidR="000808DB" w:rsidRPr="0023576E">
        <w:rPr>
          <w:rFonts w:ascii="Arial" w:hAnsi="Arial" w:cs="Arial"/>
          <w:b/>
          <w:sz w:val="20"/>
          <w:szCs w:val="20"/>
        </w:rPr>
        <w:tab/>
      </w:r>
      <w:r w:rsidR="00B05EF2" w:rsidRPr="0023576E">
        <w:rPr>
          <w:rFonts w:ascii="Arial" w:hAnsi="Arial" w:cs="Arial"/>
          <w:sz w:val="20"/>
          <w:szCs w:val="20"/>
        </w:rPr>
        <w:br/>
        <w:t xml:space="preserve">se sídlem: </w:t>
      </w:r>
      <w:r w:rsidRPr="0023576E">
        <w:rPr>
          <w:rFonts w:ascii="Arial" w:hAnsi="Arial" w:cs="Arial"/>
          <w:sz w:val="20"/>
          <w:szCs w:val="20"/>
        </w:rPr>
        <w:t>Roentgenova 37/2, 150 30 Praha 5 – Motol</w:t>
      </w:r>
      <w:r w:rsidR="000808DB" w:rsidRPr="0023576E">
        <w:rPr>
          <w:rFonts w:ascii="Arial" w:hAnsi="Arial" w:cs="Arial"/>
          <w:sz w:val="20"/>
          <w:szCs w:val="20"/>
        </w:rPr>
        <w:tab/>
      </w:r>
      <w:r w:rsidR="00B05EF2" w:rsidRPr="0023576E">
        <w:rPr>
          <w:rFonts w:ascii="Arial" w:hAnsi="Arial" w:cs="Arial"/>
          <w:sz w:val="20"/>
          <w:szCs w:val="20"/>
        </w:rPr>
        <w:br/>
        <w:t xml:space="preserve">IČO: </w:t>
      </w:r>
      <w:r w:rsidRPr="0023576E">
        <w:rPr>
          <w:rFonts w:ascii="Arial" w:hAnsi="Arial" w:cs="Arial"/>
          <w:sz w:val="20"/>
          <w:szCs w:val="20"/>
        </w:rPr>
        <w:t>00023884</w:t>
      </w:r>
      <w:r w:rsidR="000808DB" w:rsidRPr="0023576E">
        <w:rPr>
          <w:rFonts w:ascii="Arial" w:hAnsi="Arial" w:cs="Arial"/>
          <w:sz w:val="20"/>
          <w:szCs w:val="20"/>
        </w:rPr>
        <w:tab/>
      </w:r>
      <w:r w:rsidR="008F54B6" w:rsidRPr="0023576E">
        <w:rPr>
          <w:rFonts w:ascii="Arial" w:hAnsi="Arial" w:cs="Arial"/>
          <w:sz w:val="20"/>
          <w:szCs w:val="20"/>
        </w:rPr>
        <w:br/>
        <w:t>DIČ</w:t>
      </w:r>
      <w:r w:rsidR="00651B35" w:rsidRPr="0023576E">
        <w:rPr>
          <w:rFonts w:ascii="Arial" w:hAnsi="Arial" w:cs="Arial"/>
          <w:sz w:val="20"/>
          <w:szCs w:val="20"/>
        </w:rPr>
        <w:t>:</w:t>
      </w:r>
      <w:r w:rsidR="00B05EF2" w:rsidRPr="0023576E">
        <w:rPr>
          <w:rFonts w:ascii="Arial" w:hAnsi="Arial" w:cs="Arial"/>
          <w:sz w:val="20"/>
          <w:szCs w:val="20"/>
        </w:rPr>
        <w:t xml:space="preserve"> </w:t>
      </w:r>
      <w:r w:rsidRPr="0023576E">
        <w:rPr>
          <w:rFonts w:ascii="Arial" w:hAnsi="Arial" w:cs="Arial"/>
          <w:sz w:val="20"/>
          <w:szCs w:val="20"/>
        </w:rPr>
        <w:t>CZ 00023884</w:t>
      </w:r>
      <w:r w:rsidR="000808DB"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br/>
        <w:t>zastoupe</w:t>
      </w:r>
      <w:r w:rsidR="00B826C8" w:rsidRPr="0023576E">
        <w:rPr>
          <w:rFonts w:ascii="Arial" w:hAnsi="Arial" w:cs="Arial"/>
          <w:sz w:val="20"/>
          <w:szCs w:val="20"/>
        </w:rPr>
        <w:t>na</w:t>
      </w:r>
      <w:r w:rsidR="00651B35" w:rsidRPr="0023576E">
        <w:rPr>
          <w:rFonts w:ascii="Arial" w:hAnsi="Arial" w:cs="Arial"/>
          <w:sz w:val="20"/>
          <w:szCs w:val="20"/>
        </w:rPr>
        <w:t>:</w:t>
      </w:r>
      <w:r w:rsidR="00970396" w:rsidRPr="0023576E">
        <w:rPr>
          <w:rFonts w:ascii="Arial" w:hAnsi="Arial" w:cs="Arial"/>
          <w:sz w:val="20"/>
          <w:szCs w:val="20"/>
        </w:rPr>
        <w:t xml:space="preserve"> MUDr. </w:t>
      </w:r>
      <w:r w:rsidR="006F43F3">
        <w:rPr>
          <w:rFonts w:ascii="Arial" w:hAnsi="Arial" w:cs="Arial"/>
          <w:sz w:val="20"/>
          <w:szCs w:val="20"/>
        </w:rPr>
        <w:t>Petrem Poloučkem, MBA, ředitelem</w:t>
      </w:r>
    </w:p>
    <w:p w:rsidR="00970396" w:rsidRPr="0023576E" w:rsidRDefault="00970396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1A8" w:rsidRPr="0023576E" w:rsidRDefault="008711A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dále jen</w:t>
      </w:r>
      <w:r w:rsidR="00970396" w:rsidRPr="0023576E">
        <w:rPr>
          <w:rFonts w:ascii="Arial" w:hAnsi="Arial" w:cs="Arial"/>
          <w:sz w:val="20"/>
          <w:szCs w:val="20"/>
        </w:rPr>
        <w:t xml:space="preserve"> jako</w:t>
      </w:r>
      <w:r w:rsidRPr="0023576E">
        <w:rPr>
          <w:rFonts w:ascii="Arial" w:hAnsi="Arial" w:cs="Arial"/>
          <w:sz w:val="20"/>
          <w:szCs w:val="20"/>
        </w:rPr>
        <w:t xml:space="preserve"> „</w:t>
      </w:r>
      <w:r w:rsidR="00A658FC">
        <w:rPr>
          <w:rFonts w:ascii="Arial" w:hAnsi="Arial" w:cs="Arial"/>
          <w:b/>
          <w:sz w:val="20"/>
          <w:szCs w:val="20"/>
        </w:rPr>
        <w:t>NNH</w:t>
      </w:r>
      <w:r w:rsidR="00970396" w:rsidRPr="0023576E">
        <w:rPr>
          <w:rFonts w:ascii="Arial" w:hAnsi="Arial" w:cs="Arial"/>
          <w:sz w:val="20"/>
          <w:szCs w:val="20"/>
        </w:rPr>
        <w:t>“</w:t>
      </w:r>
      <w:r w:rsidRPr="0023576E">
        <w:rPr>
          <w:rFonts w:ascii="Arial" w:hAnsi="Arial" w:cs="Arial"/>
          <w:sz w:val="20"/>
          <w:szCs w:val="20"/>
        </w:rPr>
        <w:t xml:space="preserve"> </w:t>
      </w:r>
    </w:p>
    <w:p w:rsidR="008711A8" w:rsidRPr="0023576E" w:rsidRDefault="008711A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1A8" w:rsidRPr="0023576E" w:rsidRDefault="003A2AF0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a</w:t>
      </w:r>
    </w:p>
    <w:p w:rsidR="008711A8" w:rsidRPr="0023576E" w:rsidRDefault="008711A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4B6" w:rsidRDefault="00B42612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Všeobecná fakultní nemocnice </w:t>
      </w:r>
      <w:r w:rsidR="00C90BEE">
        <w:rPr>
          <w:rFonts w:ascii="Arial" w:hAnsi="Arial" w:cs="Arial"/>
          <w:b/>
          <w:sz w:val="20"/>
          <w:szCs w:val="20"/>
        </w:rPr>
        <w:t>v Praze</w:t>
      </w:r>
      <w:r w:rsidR="00B826C8" w:rsidRPr="0023576E">
        <w:rPr>
          <w:rFonts w:ascii="Arial" w:hAnsi="Arial" w:cs="Arial"/>
          <w:b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br/>
        <w:t xml:space="preserve">se sídlem: </w:t>
      </w:r>
      <w:r w:rsidR="00C90BEE">
        <w:rPr>
          <w:rFonts w:ascii="Arial" w:hAnsi="Arial" w:cs="Arial"/>
          <w:sz w:val="20"/>
          <w:szCs w:val="20"/>
        </w:rPr>
        <w:t>U Nemocnice 499/2, 128 08, Praha 2</w:t>
      </w:r>
      <w:r w:rsidR="00970396" w:rsidRPr="0023576E">
        <w:rPr>
          <w:rFonts w:ascii="Arial" w:hAnsi="Arial" w:cs="Arial"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br/>
        <w:t xml:space="preserve">IČO: </w:t>
      </w:r>
      <w:r w:rsidR="00C90BEE">
        <w:rPr>
          <w:rFonts w:ascii="Arial" w:hAnsi="Arial" w:cs="Arial"/>
          <w:sz w:val="20"/>
          <w:szCs w:val="20"/>
        </w:rPr>
        <w:t>00064165</w:t>
      </w:r>
      <w:r w:rsidR="00970396" w:rsidRPr="0023576E">
        <w:rPr>
          <w:rFonts w:ascii="Arial" w:hAnsi="Arial" w:cs="Arial"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br/>
        <w:t xml:space="preserve">DIČ: </w:t>
      </w:r>
      <w:r w:rsidR="00F81156" w:rsidRPr="0023576E">
        <w:rPr>
          <w:rFonts w:ascii="Arial" w:hAnsi="Arial" w:cs="Arial"/>
          <w:sz w:val="20"/>
          <w:szCs w:val="20"/>
        </w:rPr>
        <w:t>CZ</w:t>
      </w:r>
      <w:r w:rsidR="00C90BEE">
        <w:rPr>
          <w:rFonts w:ascii="Arial" w:hAnsi="Arial" w:cs="Arial"/>
          <w:sz w:val="20"/>
          <w:szCs w:val="20"/>
        </w:rPr>
        <w:t>00064165</w:t>
      </w:r>
      <w:r w:rsidR="00970396" w:rsidRPr="0023576E">
        <w:rPr>
          <w:rFonts w:ascii="Arial" w:hAnsi="Arial" w:cs="Arial"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br/>
        <w:t xml:space="preserve">zastoupena: </w:t>
      </w:r>
      <w:r w:rsidR="00C90BEE">
        <w:rPr>
          <w:rFonts w:ascii="Arial" w:hAnsi="Arial" w:cs="Arial"/>
          <w:sz w:val="20"/>
          <w:szCs w:val="20"/>
        </w:rPr>
        <w:t>prof. MUDr. Davidem Feltlem, Ph.D., MBA</w:t>
      </w:r>
      <w:r w:rsidR="00A658FC">
        <w:rPr>
          <w:rFonts w:ascii="Arial" w:hAnsi="Arial" w:cs="Arial"/>
          <w:sz w:val="20"/>
          <w:szCs w:val="20"/>
        </w:rPr>
        <w:t>, ředitelem</w:t>
      </w:r>
    </w:p>
    <w:p w:rsidR="007C5203" w:rsidRDefault="006F43F3" w:rsidP="007C5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7C5203">
        <w:rPr>
          <w:rFonts w:ascii="Arial" w:hAnsi="Arial" w:cs="Arial"/>
          <w:sz w:val="20"/>
          <w:szCs w:val="20"/>
        </w:rPr>
        <w:t>Česká národní banka, Na Příkopě 28, 115 03 Praha 1</w:t>
      </w:r>
    </w:p>
    <w:p w:rsidR="006F43F3" w:rsidRPr="0023576E" w:rsidRDefault="006F43F3" w:rsidP="007C5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 w:rsidR="007C5203">
        <w:rPr>
          <w:rFonts w:ascii="Arial" w:hAnsi="Arial" w:cs="Arial"/>
          <w:sz w:val="20"/>
          <w:szCs w:val="20"/>
        </w:rPr>
        <w:t xml:space="preserve"> 24035021/0710</w:t>
      </w:r>
    </w:p>
    <w:p w:rsidR="00970396" w:rsidRPr="0023576E" w:rsidRDefault="00970396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B0" w:rsidRPr="0023576E" w:rsidRDefault="007B23B0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dále jen</w:t>
      </w:r>
      <w:r w:rsidR="00970396" w:rsidRPr="0023576E">
        <w:rPr>
          <w:rFonts w:ascii="Arial" w:hAnsi="Arial" w:cs="Arial"/>
          <w:sz w:val="20"/>
          <w:szCs w:val="20"/>
        </w:rPr>
        <w:t xml:space="preserve"> jako</w:t>
      </w:r>
      <w:r w:rsidRPr="0023576E">
        <w:rPr>
          <w:rFonts w:ascii="Arial" w:hAnsi="Arial" w:cs="Arial"/>
          <w:sz w:val="20"/>
          <w:szCs w:val="20"/>
        </w:rPr>
        <w:t xml:space="preserve"> „</w:t>
      </w:r>
      <w:r w:rsidR="00A658FC">
        <w:rPr>
          <w:rFonts w:ascii="Arial" w:hAnsi="Arial" w:cs="Arial"/>
          <w:b/>
          <w:sz w:val="20"/>
          <w:szCs w:val="20"/>
        </w:rPr>
        <w:t>VFN</w:t>
      </w:r>
      <w:r w:rsidR="00970396" w:rsidRPr="0023576E">
        <w:rPr>
          <w:rFonts w:ascii="Arial" w:hAnsi="Arial" w:cs="Arial"/>
          <w:sz w:val="20"/>
          <w:szCs w:val="20"/>
        </w:rPr>
        <w:t>“</w:t>
      </w:r>
    </w:p>
    <w:p w:rsidR="00D30CC0" w:rsidRPr="0023576E" w:rsidRDefault="00D30CC0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1A8" w:rsidRPr="0023576E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 xml:space="preserve">dále </w:t>
      </w:r>
      <w:r w:rsidR="008711A8" w:rsidRPr="0023576E">
        <w:rPr>
          <w:rFonts w:ascii="Arial" w:hAnsi="Arial" w:cs="Arial"/>
          <w:sz w:val="20"/>
          <w:szCs w:val="20"/>
        </w:rPr>
        <w:t>společně též jako „</w:t>
      </w:r>
      <w:r w:rsidRPr="0023576E">
        <w:rPr>
          <w:rFonts w:ascii="Arial" w:hAnsi="Arial" w:cs="Arial"/>
          <w:b/>
          <w:sz w:val="20"/>
          <w:szCs w:val="20"/>
        </w:rPr>
        <w:t>účastníci D</w:t>
      </w:r>
      <w:r w:rsidR="003A2AF0" w:rsidRPr="0023576E">
        <w:rPr>
          <w:rFonts w:ascii="Arial" w:hAnsi="Arial" w:cs="Arial"/>
          <w:b/>
          <w:sz w:val="20"/>
          <w:szCs w:val="20"/>
        </w:rPr>
        <w:t>ohody</w:t>
      </w:r>
      <w:r w:rsidR="008711A8" w:rsidRPr="0023576E">
        <w:rPr>
          <w:rFonts w:ascii="Arial" w:hAnsi="Arial" w:cs="Arial"/>
          <w:sz w:val="20"/>
          <w:szCs w:val="20"/>
        </w:rPr>
        <w:t>“</w:t>
      </w:r>
    </w:p>
    <w:p w:rsidR="00B826C8" w:rsidRPr="0023576E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6C8" w:rsidRPr="0023576E" w:rsidRDefault="00970396" w:rsidP="003C5C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 xml:space="preserve">uzavírají </w:t>
      </w:r>
      <w:r w:rsidR="00C909D6">
        <w:rPr>
          <w:rFonts w:ascii="Arial" w:hAnsi="Arial" w:cs="Arial"/>
          <w:sz w:val="20"/>
          <w:szCs w:val="20"/>
        </w:rPr>
        <w:t>v souladu s</w:t>
      </w:r>
      <w:r w:rsidR="00B42612">
        <w:rPr>
          <w:rFonts w:ascii="Arial" w:hAnsi="Arial" w:cs="Arial"/>
          <w:sz w:val="20"/>
          <w:szCs w:val="20"/>
        </w:rPr>
        <w:t xml:space="preserve"> ust. § 1903</w:t>
      </w:r>
      <w:r w:rsidR="00B826C8" w:rsidRPr="0023576E">
        <w:rPr>
          <w:rFonts w:ascii="Arial" w:hAnsi="Arial" w:cs="Arial"/>
          <w:sz w:val="20"/>
          <w:szCs w:val="20"/>
        </w:rPr>
        <w:t xml:space="preserve"> a násl. zákona č. 89/2012 Sb., občanský zákoník, ve znění pozdějších</w:t>
      </w:r>
      <w:r w:rsidR="003C5C2F" w:rsidRPr="0023576E">
        <w:rPr>
          <w:rFonts w:ascii="Arial" w:hAnsi="Arial" w:cs="Arial"/>
          <w:sz w:val="20"/>
          <w:szCs w:val="20"/>
        </w:rPr>
        <w:t xml:space="preserve"> předpisů </w:t>
      </w:r>
      <w:r w:rsidR="00B826C8" w:rsidRPr="0023576E">
        <w:rPr>
          <w:rFonts w:ascii="Arial" w:hAnsi="Arial" w:cs="Arial"/>
          <w:sz w:val="20"/>
          <w:szCs w:val="20"/>
        </w:rPr>
        <w:t>(dále</w:t>
      </w:r>
      <w:r w:rsidR="00C30578" w:rsidRPr="0023576E">
        <w:rPr>
          <w:rFonts w:ascii="Arial" w:hAnsi="Arial" w:cs="Arial"/>
          <w:sz w:val="20"/>
          <w:szCs w:val="20"/>
        </w:rPr>
        <w:t xml:space="preserve"> jen</w:t>
      </w:r>
      <w:r w:rsidR="00B826C8" w:rsidRPr="0023576E">
        <w:rPr>
          <w:rFonts w:ascii="Arial" w:hAnsi="Arial" w:cs="Arial"/>
          <w:sz w:val="20"/>
          <w:szCs w:val="20"/>
        </w:rPr>
        <w:t> „</w:t>
      </w:r>
      <w:r w:rsidR="00B826C8" w:rsidRPr="0023576E">
        <w:rPr>
          <w:rFonts w:ascii="Arial" w:hAnsi="Arial" w:cs="Arial"/>
          <w:b/>
          <w:sz w:val="20"/>
          <w:szCs w:val="20"/>
        </w:rPr>
        <w:t>OZ</w:t>
      </w:r>
      <w:r w:rsidR="00B826C8" w:rsidRPr="0023576E">
        <w:rPr>
          <w:rFonts w:ascii="Arial" w:hAnsi="Arial" w:cs="Arial"/>
          <w:sz w:val="20"/>
          <w:szCs w:val="20"/>
        </w:rPr>
        <w:t>“) tuto</w:t>
      </w:r>
    </w:p>
    <w:p w:rsidR="00B826C8" w:rsidRPr="0023576E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6C8" w:rsidRPr="0023576E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6C8" w:rsidRPr="0023576E" w:rsidRDefault="00970396" w:rsidP="00B826C8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23576E">
        <w:rPr>
          <w:rFonts w:ascii="Arial" w:hAnsi="Arial" w:cs="Arial"/>
          <w:b/>
          <w:sz w:val="28"/>
          <w:szCs w:val="28"/>
        </w:rPr>
        <w:t xml:space="preserve">DOHODU </w:t>
      </w:r>
      <w:r w:rsidR="00B42612">
        <w:rPr>
          <w:rFonts w:ascii="Arial" w:hAnsi="Arial" w:cs="Arial"/>
          <w:b/>
          <w:sz w:val="28"/>
          <w:szCs w:val="28"/>
        </w:rPr>
        <w:t>NAROVNÁNÍ</w:t>
      </w:r>
    </w:p>
    <w:p w:rsidR="008711A8" w:rsidRPr="0023576E" w:rsidRDefault="00B826C8" w:rsidP="00B826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(dále jen „</w:t>
      </w:r>
      <w:r w:rsidRPr="0023576E">
        <w:rPr>
          <w:rFonts w:ascii="Arial" w:hAnsi="Arial" w:cs="Arial"/>
          <w:b/>
          <w:sz w:val="20"/>
          <w:szCs w:val="20"/>
        </w:rPr>
        <w:t>Dohoda</w:t>
      </w:r>
      <w:r w:rsidRPr="0023576E">
        <w:rPr>
          <w:rFonts w:ascii="Arial" w:hAnsi="Arial" w:cs="Arial"/>
          <w:sz w:val="20"/>
          <w:szCs w:val="20"/>
        </w:rPr>
        <w:t>“)</w:t>
      </w:r>
    </w:p>
    <w:p w:rsidR="00B826C8" w:rsidRPr="0023576E" w:rsidRDefault="00B826C8" w:rsidP="00B826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26C8" w:rsidRPr="0023576E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C2F" w:rsidRPr="0023576E" w:rsidRDefault="003C5C2F" w:rsidP="003C5C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Čl. I</w:t>
      </w:r>
      <w:r w:rsidR="00C30578" w:rsidRPr="0023576E">
        <w:rPr>
          <w:rFonts w:ascii="Arial" w:hAnsi="Arial" w:cs="Arial"/>
          <w:b/>
          <w:sz w:val="20"/>
          <w:szCs w:val="20"/>
        </w:rPr>
        <w:t>.</w:t>
      </w:r>
    </w:p>
    <w:p w:rsidR="00F81156" w:rsidRPr="0023576E" w:rsidRDefault="00313236" w:rsidP="00F073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Postavení účastníků Dohody</w:t>
      </w:r>
      <w:r w:rsidR="008711A8" w:rsidRPr="0023576E">
        <w:rPr>
          <w:rFonts w:ascii="Arial" w:hAnsi="Arial" w:cs="Arial"/>
          <w:b/>
          <w:sz w:val="20"/>
          <w:szCs w:val="20"/>
        </w:rPr>
        <w:br/>
      </w:r>
    </w:p>
    <w:p w:rsidR="00F81156" w:rsidRDefault="0026369F" w:rsidP="004D6BE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NNH</w:t>
      </w:r>
      <w:r w:rsidR="00F81156" w:rsidRPr="0023576E">
        <w:rPr>
          <w:rFonts w:ascii="Arial" w:hAnsi="Arial" w:cs="Arial"/>
          <w:sz w:val="20"/>
          <w:szCs w:val="20"/>
        </w:rPr>
        <w:t xml:space="preserve"> je 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>státní příspěvková organizace v přímé řídící působnosti Ministerstva zdravotnictví České republiky, zřízená rozhodnutím ministra zdravotnictví ze dne 25.</w:t>
      </w:r>
      <w:r w:rsidR="004D6BEB" w:rsidRPr="0023576E">
        <w:rPr>
          <w:rFonts w:ascii="Arial" w:hAnsi="Arial" w:cs="Arial"/>
          <w:sz w:val="20"/>
          <w:szCs w:val="20"/>
        </w:rPr>
        <w:t> 11. 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>1990</w:t>
      </w:r>
      <w:r w:rsidR="004D6BEB" w:rsidRPr="0023576E">
        <w:rPr>
          <w:rFonts w:ascii="Arial" w:hAnsi="Arial" w:cs="Arial"/>
          <w:sz w:val="20"/>
          <w:szCs w:val="20"/>
        </w:rPr>
        <w:t>,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 xml:space="preserve"> č.j. OP-054.25.11.90</w:t>
      </w:r>
      <w:r w:rsidR="004D6BEB" w:rsidRPr="0023576E">
        <w:rPr>
          <w:rFonts w:ascii="Arial" w:hAnsi="Arial" w:cs="Arial"/>
          <w:sz w:val="20"/>
          <w:szCs w:val="20"/>
        </w:rPr>
        <w:t>,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 xml:space="preserve"> ve znění změn provedených Opatřením Ministerstva zdravotnictví vydaného pod č.j. MZDR 58228/2017-2/OPŘ ze dne 11.</w:t>
      </w:r>
      <w:r w:rsidR="004D6BEB" w:rsidRPr="0023576E">
        <w:rPr>
          <w:rFonts w:ascii="Arial" w:hAnsi="Arial" w:cs="Arial"/>
          <w:sz w:val="20"/>
          <w:szCs w:val="20"/>
        </w:rPr>
        <w:t xml:space="preserve"> 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>12.</w:t>
      </w:r>
      <w:r w:rsidR="004D6BEB" w:rsidRPr="0023576E">
        <w:rPr>
          <w:rFonts w:ascii="Arial" w:hAnsi="Arial" w:cs="Arial"/>
          <w:sz w:val="20"/>
          <w:szCs w:val="20"/>
        </w:rPr>
        <w:t xml:space="preserve"> 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>2017</w:t>
      </w:r>
      <w:r w:rsidR="004D6BEB" w:rsidRPr="0023576E">
        <w:rPr>
          <w:rFonts w:ascii="Arial" w:hAnsi="Arial" w:cs="Arial"/>
          <w:sz w:val="20"/>
          <w:szCs w:val="20"/>
        </w:rPr>
        <w:t>.</w:t>
      </w:r>
    </w:p>
    <w:p w:rsidR="0026369F" w:rsidRDefault="0026369F" w:rsidP="0026369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6369F" w:rsidRPr="0023576E" w:rsidRDefault="0026369F" w:rsidP="004D6BE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VFN je 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>státní příspěvková organizace v přímé řídící působnosti Ministerstva zdravotnictví České republiky, zřízená rozhodnutím ministra zdravotnictví ze dne 25.</w:t>
      </w:r>
      <w:r w:rsidRPr="0023576E">
        <w:rPr>
          <w:rFonts w:ascii="Arial" w:hAnsi="Arial" w:cs="Arial"/>
          <w:sz w:val="20"/>
          <w:szCs w:val="20"/>
        </w:rPr>
        <w:t> 11. 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>1990</w:t>
      </w:r>
      <w:r w:rsidRPr="0023576E">
        <w:rPr>
          <w:rFonts w:ascii="Arial" w:hAnsi="Arial" w:cs="Arial"/>
          <w:sz w:val="20"/>
          <w:szCs w:val="20"/>
        </w:rPr>
        <w:t>,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 xml:space="preserve"> č.j. OP-054.25.11.90</w:t>
      </w:r>
      <w:r w:rsidRPr="0023576E">
        <w:rPr>
          <w:rFonts w:ascii="Arial" w:hAnsi="Arial" w:cs="Arial"/>
          <w:sz w:val="20"/>
          <w:szCs w:val="20"/>
        </w:rPr>
        <w:t>,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 xml:space="preserve"> ve znění změn provedených Opatřením Ministerstva zdravotnictví vydaného pod č.j. MZDR </w:t>
      </w:r>
      <w:r>
        <w:rPr>
          <w:rFonts w:ascii="Arial" w:eastAsia="Calibri" w:hAnsi="Arial" w:cs="Arial"/>
          <w:sz w:val="20"/>
          <w:szCs w:val="20"/>
          <w:lang w:eastAsia="ar-SA"/>
        </w:rPr>
        <w:t>47082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>/201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>-</w:t>
      </w:r>
      <w:r>
        <w:rPr>
          <w:rFonts w:ascii="Arial" w:eastAsia="Calibri" w:hAnsi="Arial" w:cs="Arial"/>
          <w:sz w:val="20"/>
          <w:szCs w:val="20"/>
          <w:lang w:eastAsia="ar-SA"/>
        </w:rPr>
        <w:t>1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 xml:space="preserve">/OPŘ ze dne </w:t>
      </w:r>
      <w:r>
        <w:rPr>
          <w:rFonts w:ascii="Arial" w:eastAsia="Calibri" w:hAnsi="Arial" w:cs="Arial"/>
          <w:sz w:val="20"/>
          <w:szCs w:val="20"/>
          <w:lang w:eastAsia="ar-SA"/>
        </w:rPr>
        <w:t>27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235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7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23576E">
        <w:rPr>
          <w:rFonts w:ascii="Arial" w:hAnsi="Arial" w:cs="Arial"/>
          <w:sz w:val="20"/>
          <w:szCs w:val="20"/>
        </w:rPr>
        <w:t xml:space="preserve"> </w:t>
      </w:r>
      <w:r w:rsidRPr="0023576E">
        <w:rPr>
          <w:rFonts w:ascii="Arial" w:eastAsia="Calibri" w:hAnsi="Arial" w:cs="Arial"/>
          <w:sz w:val="20"/>
          <w:szCs w:val="20"/>
          <w:lang w:eastAsia="ar-SA"/>
        </w:rPr>
        <w:t>201</w:t>
      </w:r>
      <w:r>
        <w:rPr>
          <w:rFonts w:ascii="Arial" w:eastAsia="Calibri" w:hAnsi="Arial" w:cs="Arial"/>
          <w:sz w:val="20"/>
          <w:szCs w:val="20"/>
          <w:lang w:eastAsia="ar-SA"/>
        </w:rPr>
        <w:t>6.</w:t>
      </w:r>
    </w:p>
    <w:p w:rsidR="00313236" w:rsidRPr="0023576E" w:rsidRDefault="00313236" w:rsidP="00C2335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13236" w:rsidRPr="0023576E" w:rsidRDefault="00313236" w:rsidP="003C5C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Čl. II</w:t>
      </w:r>
      <w:r w:rsidR="00C30578" w:rsidRPr="0023576E">
        <w:rPr>
          <w:rFonts w:ascii="Arial" w:hAnsi="Arial" w:cs="Arial"/>
          <w:b/>
          <w:sz w:val="20"/>
          <w:szCs w:val="20"/>
        </w:rPr>
        <w:t>.</w:t>
      </w:r>
    </w:p>
    <w:p w:rsidR="00313236" w:rsidRPr="0023576E" w:rsidRDefault="00F0734D" w:rsidP="004D6B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Nesporná tvrzení účastníků Dohody</w:t>
      </w:r>
    </w:p>
    <w:p w:rsidR="00313236" w:rsidRPr="0023576E" w:rsidRDefault="00313236" w:rsidP="003C5C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32B2" w:rsidRDefault="0030431A" w:rsidP="004D6BE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217E43">
        <w:rPr>
          <w:rFonts w:ascii="Arial" w:hAnsi="Arial" w:cs="Arial"/>
          <w:sz w:val="20"/>
          <w:szCs w:val="20"/>
        </w:rPr>
        <w:t>3. 7 2017</w:t>
      </w:r>
      <w:r>
        <w:rPr>
          <w:rFonts w:ascii="Arial" w:hAnsi="Arial" w:cs="Arial"/>
          <w:sz w:val="20"/>
          <w:szCs w:val="20"/>
        </w:rPr>
        <w:t xml:space="preserve"> předepsal lékař </w:t>
      </w:r>
      <w:r w:rsidR="006F6F86">
        <w:rPr>
          <w:rFonts w:ascii="Arial" w:hAnsi="Arial" w:cs="Arial"/>
          <w:sz w:val="20"/>
          <w:szCs w:val="20"/>
        </w:rPr>
        <w:t xml:space="preserve">v zaměstnaneckém poměru k </w:t>
      </w:r>
      <w:r>
        <w:rPr>
          <w:rFonts w:ascii="Arial" w:hAnsi="Arial" w:cs="Arial"/>
          <w:sz w:val="20"/>
          <w:szCs w:val="20"/>
        </w:rPr>
        <w:t xml:space="preserve">NNH humánní léčivý přípravek </w:t>
      </w:r>
      <w:r w:rsidR="00217E43">
        <w:rPr>
          <w:rFonts w:ascii="Arial" w:hAnsi="Arial" w:cs="Arial"/>
          <w:sz w:val="20"/>
          <w:szCs w:val="20"/>
        </w:rPr>
        <w:t>ZEPATIER 50MG/10MG TBL FLM 28</w:t>
      </w:r>
      <w:r>
        <w:rPr>
          <w:rFonts w:ascii="Arial" w:hAnsi="Arial" w:cs="Arial"/>
          <w:sz w:val="20"/>
          <w:szCs w:val="20"/>
        </w:rPr>
        <w:t xml:space="preserve"> (dále jen: „</w:t>
      </w:r>
      <w:r w:rsidRPr="0030431A">
        <w:rPr>
          <w:rFonts w:ascii="Arial" w:hAnsi="Arial" w:cs="Arial"/>
          <w:b/>
          <w:sz w:val="20"/>
          <w:szCs w:val="20"/>
        </w:rPr>
        <w:t>lék</w:t>
      </w:r>
      <w:r>
        <w:rPr>
          <w:rFonts w:ascii="Arial" w:hAnsi="Arial" w:cs="Arial"/>
          <w:sz w:val="20"/>
          <w:szCs w:val="20"/>
        </w:rPr>
        <w:t xml:space="preserve">“), k jehož </w:t>
      </w:r>
      <w:r w:rsidR="00217E43">
        <w:rPr>
          <w:rFonts w:ascii="Arial" w:hAnsi="Arial" w:cs="Arial"/>
          <w:sz w:val="20"/>
          <w:szCs w:val="20"/>
        </w:rPr>
        <w:t>preskripci</w:t>
      </w:r>
      <w:r>
        <w:rPr>
          <w:rFonts w:ascii="Arial" w:hAnsi="Arial" w:cs="Arial"/>
          <w:sz w:val="20"/>
          <w:szCs w:val="20"/>
        </w:rPr>
        <w:t xml:space="preserve"> nedisponoval příslušným oprávněním. Pacient, jemuž byl lék předepsán, předložil předpis v nemocniční lékárně NNH, kde mu zaměstnanci lékárny lék s odkazem na </w:t>
      </w:r>
      <w:r w:rsidR="00462079">
        <w:rPr>
          <w:rFonts w:ascii="Arial" w:hAnsi="Arial" w:cs="Arial"/>
          <w:sz w:val="20"/>
          <w:szCs w:val="20"/>
        </w:rPr>
        <w:t>absenci</w:t>
      </w:r>
      <w:r>
        <w:rPr>
          <w:rFonts w:ascii="Arial" w:hAnsi="Arial" w:cs="Arial"/>
          <w:sz w:val="20"/>
          <w:szCs w:val="20"/>
        </w:rPr>
        <w:t xml:space="preserve"> oprávnění lékaře odmítli vydat.</w:t>
      </w:r>
    </w:p>
    <w:p w:rsidR="0030431A" w:rsidRDefault="0030431A" w:rsidP="0030431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273AC" w:rsidRDefault="00436A3A" w:rsidP="000273AC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Pacient následně předložil předpis v nemocniční </w:t>
      </w:r>
      <w:r w:rsidR="000273AC">
        <w:rPr>
          <w:rFonts w:ascii="Arial" w:hAnsi="Arial" w:cs="Arial"/>
          <w:sz w:val="20"/>
          <w:szCs w:val="20"/>
        </w:rPr>
        <w:t xml:space="preserve">lékárně VFN. </w:t>
      </w:r>
      <w:r w:rsidR="00343639">
        <w:rPr>
          <w:rFonts w:ascii="Arial" w:hAnsi="Arial" w:cs="Arial"/>
          <w:sz w:val="20"/>
          <w:szCs w:val="20"/>
        </w:rPr>
        <w:t>Zaměstnanci</w:t>
      </w:r>
      <w:r w:rsidR="000273AC">
        <w:rPr>
          <w:rFonts w:ascii="Arial" w:hAnsi="Arial" w:cs="Arial"/>
          <w:sz w:val="20"/>
          <w:szCs w:val="20"/>
        </w:rPr>
        <w:t xml:space="preserve"> lékárny VFN lék i přes </w:t>
      </w:r>
      <w:r w:rsidR="00343639">
        <w:rPr>
          <w:rFonts w:ascii="Arial" w:hAnsi="Arial" w:cs="Arial"/>
          <w:sz w:val="20"/>
          <w:szCs w:val="20"/>
        </w:rPr>
        <w:t>absenci</w:t>
      </w:r>
      <w:r w:rsidR="000273AC">
        <w:rPr>
          <w:rFonts w:ascii="Arial" w:hAnsi="Arial" w:cs="Arial"/>
          <w:sz w:val="20"/>
          <w:szCs w:val="20"/>
        </w:rPr>
        <w:t xml:space="preserve"> oprávnění předepisujícího lékaře </w:t>
      </w:r>
      <w:r w:rsidR="009C195F">
        <w:rPr>
          <w:rFonts w:ascii="Arial" w:hAnsi="Arial" w:cs="Arial"/>
          <w:sz w:val="20"/>
          <w:szCs w:val="20"/>
        </w:rPr>
        <w:t xml:space="preserve">objednali a </w:t>
      </w:r>
      <w:r w:rsidR="000273AC">
        <w:rPr>
          <w:rFonts w:ascii="Arial" w:hAnsi="Arial" w:cs="Arial"/>
          <w:sz w:val="20"/>
          <w:szCs w:val="20"/>
        </w:rPr>
        <w:t>vydali</w:t>
      </w:r>
      <w:r w:rsidR="009C195F">
        <w:rPr>
          <w:rFonts w:ascii="Arial" w:hAnsi="Arial" w:cs="Arial"/>
          <w:sz w:val="20"/>
          <w:szCs w:val="20"/>
        </w:rPr>
        <w:t xml:space="preserve"> jej pacientovi</w:t>
      </w:r>
      <w:r w:rsidR="000273AC">
        <w:rPr>
          <w:rFonts w:ascii="Arial" w:hAnsi="Arial" w:cs="Arial"/>
          <w:sz w:val="20"/>
          <w:szCs w:val="20"/>
        </w:rPr>
        <w:t>.</w:t>
      </w:r>
    </w:p>
    <w:p w:rsidR="000273AC" w:rsidRPr="000273AC" w:rsidRDefault="000273AC" w:rsidP="000273AC">
      <w:pPr>
        <w:pStyle w:val="Odstavecseseznamem"/>
        <w:rPr>
          <w:rFonts w:ascii="Arial" w:hAnsi="Arial" w:cs="Arial"/>
          <w:sz w:val="20"/>
          <w:szCs w:val="20"/>
        </w:rPr>
      </w:pPr>
    </w:p>
    <w:p w:rsidR="000273AC" w:rsidRPr="000273AC" w:rsidRDefault="000273AC" w:rsidP="000273AC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Vzhledem k tomu, že recept byl předepsán neoprávněnou osobou, odmítla Všeobecná zdravotní pojišťovna </w:t>
      </w:r>
      <w:r w:rsidR="00343639">
        <w:rPr>
          <w:rFonts w:ascii="Arial" w:hAnsi="Arial" w:cs="Arial"/>
          <w:sz w:val="20"/>
          <w:szCs w:val="20"/>
        </w:rPr>
        <w:t xml:space="preserve">VFN </w:t>
      </w:r>
      <w:r>
        <w:rPr>
          <w:rFonts w:ascii="Arial" w:hAnsi="Arial" w:cs="Arial"/>
          <w:sz w:val="20"/>
          <w:szCs w:val="20"/>
        </w:rPr>
        <w:t>lék v očekávané výši proplatit. VFN tímto vznikla škoda ve výši 298.986,- Kč</w:t>
      </w:r>
      <w:r w:rsidR="002E33D1">
        <w:rPr>
          <w:rFonts w:ascii="Arial" w:hAnsi="Arial" w:cs="Arial"/>
          <w:sz w:val="20"/>
          <w:szCs w:val="20"/>
        </w:rPr>
        <w:t xml:space="preserve"> (slovy dvě stě devadesát osm tisíc devět set osmdesát šest korun českých)</w:t>
      </w:r>
      <w:r>
        <w:rPr>
          <w:rFonts w:ascii="Arial" w:hAnsi="Arial" w:cs="Arial"/>
          <w:sz w:val="20"/>
          <w:szCs w:val="20"/>
        </w:rPr>
        <w:t>.</w:t>
      </w:r>
    </w:p>
    <w:p w:rsidR="0058099E" w:rsidRPr="0023576E" w:rsidRDefault="0058099E" w:rsidP="0058099E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F3715" w:rsidRPr="0023576E" w:rsidRDefault="00CF3715" w:rsidP="00C23354">
      <w:pPr>
        <w:pStyle w:val="Odstavecseseznamem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35C32" w:rsidRPr="0023576E" w:rsidRDefault="00735C32" w:rsidP="00735C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Čl. III</w:t>
      </w:r>
      <w:r w:rsidR="00C30578" w:rsidRPr="0023576E">
        <w:rPr>
          <w:rFonts w:ascii="Arial" w:hAnsi="Arial" w:cs="Arial"/>
          <w:b/>
          <w:sz w:val="20"/>
          <w:szCs w:val="20"/>
        </w:rPr>
        <w:t>.</w:t>
      </w:r>
    </w:p>
    <w:p w:rsidR="00CF3715" w:rsidRPr="0023576E" w:rsidRDefault="00F0734D" w:rsidP="00735C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Sporná tvrzení účastníků Dohody</w:t>
      </w:r>
    </w:p>
    <w:p w:rsidR="004D6DB3" w:rsidRPr="0023576E" w:rsidRDefault="004D6DB3" w:rsidP="007B3C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4AC3" w:rsidRDefault="006F6F86" w:rsidP="0047001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souvislosti se situací popsanou v čl. II. Dohody vznikl mezi účastníky Dohody spor, kdy</w:t>
      </w:r>
    </w:p>
    <w:p w:rsidR="006F6F86" w:rsidRDefault="006F6F86" w:rsidP="006F6F8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6F86" w:rsidRDefault="006F6F86" w:rsidP="006F6F86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VFN s</w:t>
      </w:r>
      <w:r w:rsidR="00343639">
        <w:rPr>
          <w:rFonts w:ascii="Arial" w:hAnsi="Arial" w:cs="Arial"/>
          <w:sz w:val="20"/>
          <w:szCs w:val="20"/>
        </w:rPr>
        <w:t xml:space="preserve">hledává odpovědnost za škodu v celé </w:t>
      </w:r>
      <w:r>
        <w:rPr>
          <w:rFonts w:ascii="Arial" w:hAnsi="Arial" w:cs="Arial"/>
          <w:sz w:val="20"/>
          <w:szCs w:val="20"/>
        </w:rPr>
        <w:t xml:space="preserve">výši 298.986,- Kč </w:t>
      </w:r>
      <w:r w:rsidR="00343639">
        <w:rPr>
          <w:rFonts w:ascii="Arial" w:hAnsi="Arial" w:cs="Arial"/>
          <w:sz w:val="20"/>
          <w:szCs w:val="20"/>
        </w:rPr>
        <w:t xml:space="preserve">(slovy dvě stě devadesát osm tisíc devět set osmdesát šest korun českých) </w:t>
      </w:r>
      <w:r>
        <w:rPr>
          <w:rFonts w:ascii="Arial" w:hAnsi="Arial" w:cs="Arial"/>
          <w:sz w:val="20"/>
          <w:szCs w:val="20"/>
        </w:rPr>
        <w:t xml:space="preserve">na straně NNH a tvrdí, že tato vznikla </w:t>
      </w:r>
      <w:r w:rsidR="009E563B">
        <w:rPr>
          <w:rFonts w:ascii="Arial" w:hAnsi="Arial" w:cs="Arial"/>
          <w:sz w:val="20"/>
          <w:szCs w:val="20"/>
        </w:rPr>
        <w:t>výlučně</w:t>
      </w:r>
      <w:r>
        <w:rPr>
          <w:rFonts w:ascii="Arial" w:hAnsi="Arial" w:cs="Arial"/>
          <w:sz w:val="20"/>
          <w:szCs w:val="20"/>
        </w:rPr>
        <w:t xml:space="preserve"> pochybení</w:t>
      </w:r>
      <w:r w:rsidR="009E563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9E563B">
        <w:rPr>
          <w:rFonts w:ascii="Arial" w:hAnsi="Arial" w:cs="Arial"/>
          <w:sz w:val="20"/>
          <w:szCs w:val="20"/>
        </w:rPr>
        <w:t>lékaře NNH;</w:t>
      </w:r>
    </w:p>
    <w:p w:rsidR="003B7CCC" w:rsidRDefault="003B7CCC" w:rsidP="003B7CCC">
      <w:pPr>
        <w:pStyle w:val="Odstavecseseznamem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6F6F86" w:rsidRDefault="006F6F86" w:rsidP="006F6F86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NNH </w:t>
      </w:r>
      <w:r w:rsidR="009E563B">
        <w:rPr>
          <w:rFonts w:ascii="Arial" w:hAnsi="Arial" w:cs="Arial"/>
          <w:sz w:val="20"/>
          <w:szCs w:val="20"/>
        </w:rPr>
        <w:t xml:space="preserve">přiznává pochybení svého zaměstnance, ovšem </w:t>
      </w:r>
      <w:r>
        <w:rPr>
          <w:rFonts w:ascii="Arial" w:hAnsi="Arial" w:cs="Arial"/>
          <w:sz w:val="20"/>
          <w:szCs w:val="20"/>
        </w:rPr>
        <w:t xml:space="preserve">shledává odpovědnost </w:t>
      </w:r>
      <w:r w:rsidR="009E563B">
        <w:rPr>
          <w:rFonts w:ascii="Arial" w:hAnsi="Arial" w:cs="Arial"/>
          <w:sz w:val="20"/>
          <w:szCs w:val="20"/>
        </w:rPr>
        <w:t>ve shodném rozsahu také na straně zaměstnance lékárny VFN, jenž lék pacientovi vydal.</w:t>
      </w:r>
    </w:p>
    <w:p w:rsidR="004D6DB3" w:rsidRDefault="004D6DB3" w:rsidP="004D6DB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D6DB3" w:rsidRDefault="004D6DB3" w:rsidP="0047001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této Dohody je narovnat mezi účastníky Dohody sporná práva. Účastníci Dohody shodně uvádějí, že sporná práva nejsou předmětem soudního řízení.</w:t>
      </w:r>
    </w:p>
    <w:p w:rsidR="004D6DB3" w:rsidRPr="004D6DB3" w:rsidRDefault="004D6DB3" w:rsidP="004D6DB3">
      <w:pPr>
        <w:pStyle w:val="Odstavecseseznamem"/>
        <w:rPr>
          <w:rFonts w:ascii="Arial" w:hAnsi="Arial" w:cs="Arial"/>
          <w:sz w:val="20"/>
          <w:szCs w:val="20"/>
        </w:rPr>
      </w:pPr>
    </w:p>
    <w:p w:rsidR="00F0734D" w:rsidRDefault="00F0734D" w:rsidP="003F1C6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F1144E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V.</w:t>
      </w:r>
    </w:p>
    <w:p w:rsidR="009E563B" w:rsidRDefault="009E563B" w:rsidP="003F1C6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Narovnání</w:t>
      </w:r>
    </w:p>
    <w:p w:rsidR="009E563B" w:rsidRDefault="009E563B" w:rsidP="003F1C6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563B" w:rsidRDefault="009E563B" w:rsidP="009E563B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Dohody </w:t>
      </w:r>
      <w:r w:rsidR="003B7CCC">
        <w:rPr>
          <w:rFonts w:ascii="Arial" w:hAnsi="Arial" w:cs="Arial"/>
          <w:sz w:val="20"/>
          <w:szCs w:val="20"/>
        </w:rPr>
        <w:t>prohlašují</w:t>
      </w:r>
      <w:r>
        <w:rPr>
          <w:rFonts w:ascii="Arial" w:hAnsi="Arial" w:cs="Arial"/>
          <w:sz w:val="20"/>
          <w:szCs w:val="20"/>
        </w:rPr>
        <w:t xml:space="preserve">, že veškerá sporná </w:t>
      </w:r>
      <w:r w:rsidR="003B7CCC">
        <w:rPr>
          <w:rFonts w:ascii="Arial" w:hAnsi="Arial" w:cs="Arial"/>
          <w:sz w:val="20"/>
          <w:szCs w:val="20"/>
        </w:rPr>
        <w:t>práva a povinnost</w:t>
      </w:r>
      <w:r w:rsidR="00DB3B0D">
        <w:rPr>
          <w:rFonts w:ascii="Arial" w:hAnsi="Arial" w:cs="Arial"/>
          <w:sz w:val="20"/>
          <w:szCs w:val="20"/>
        </w:rPr>
        <w:t>i budou narovnány</w:t>
      </w:r>
      <w:r>
        <w:rPr>
          <w:rFonts w:ascii="Arial" w:hAnsi="Arial" w:cs="Arial"/>
          <w:sz w:val="20"/>
          <w:szCs w:val="20"/>
        </w:rPr>
        <w:t xml:space="preserve"> způsobem dle tohoto článku Dohody.</w:t>
      </w:r>
    </w:p>
    <w:p w:rsidR="009E563B" w:rsidRDefault="009E563B" w:rsidP="009E563B">
      <w:pPr>
        <w:pStyle w:val="Odstavecseseznamem"/>
        <w:keepNext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563B" w:rsidRDefault="003B7CCC" w:rsidP="009E563B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Dohody souhlasí, že odpovědnost za škodu vzniklou VFN </w:t>
      </w:r>
      <w:r w:rsidR="00DB3B0D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nesou společně a nerozdílně a každ</w:t>
      </w:r>
      <w:r w:rsidR="00EC48DF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z nich uhradí z této škody jednu polovinu, tj. částku </w:t>
      </w:r>
      <w:r w:rsidR="00EC48DF">
        <w:rPr>
          <w:rFonts w:ascii="Arial" w:hAnsi="Arial" w:cs="Arial"/>
          <w:sz w:val="20"/>
          <w:szCs w:val="20"/>
        </w:rPr>
        <w:t xml:space="preserve">ve výši </w:t>
      </w:r>
      <w:r>
        <w:rPr>
          <w:rFonts w:ascii="Arial" w:hAnsi="Arial" w:cs="Arial"/>
          <w:sz w:val="20"/>
          <w:szCs w:val="20"/>
        </w:rPr>
        <w:t xml:space="preserve">149.493,- Kč (slovy sto čtyřicet devět tisíc čtyři sta devadesát tři korun českých). </w:t>
      </w:r>
    </w:p>
    <w:p w:rsidR="00EC48DF" w:rsidRPr="00EC48DF" w:rsidRDefault="00EC48DF" w:rsidP="00EC48DF">
      <w:pPr>
        <w:pStyle w:val="Odstavecseseznamem"/>
        <w:rPr>
          <w:rFonts w:ascii="Arial" w:hAnsi="Arial" w:cs="Arial"/>
          <w:sz w:val="20"/>
          <w:szCs w:val="20"/>
        </w:rPr>
      </w:pPr>
    </w:p>
    <w:p w:rsidR="00EC48DF" w:rsidRDefault="003E0C35" w:rsidP="009E563B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škoda vznikla objednáním a zaplacením léku na straně VFN, rozhodli se účastníci Dohody vypořádat škodu </w:t>
      </w:r>
      <w:r w:rsidR="00024D0C">
        <w:rPr>
          <w:rFonts w:ascii="Arial" w:hAnsi="Arial" w:cs="Arial"/>
          <w:sz w:val="20"/>
          <w:szCs w:val="20"/>
        </w:rPr>
        <w:t>následovně:</w:t>
      </w:r>
      <w:r>
        <w:rPr>
          <w:rFonts w:ascii="Arial" w:hAnsi="Arial" w:cs="Arial"/>
          <w:sz w:val="20"/>
          <w:szCs w:val="20"/>
        </w:rPr>
        <w:t xml:space="preserve"> </w:t>
      </w:r>
      <w:r w:rsidR="00EC48DF">
        <w:rPr>
          <w:rFonts w:ascii="Arial" w:hAnsi="Arial" w:cs="Arial"/>
          <w:sz w:val="20"/>
          <w:szCs w:val="20"/>
        </w:rPr>
        <w:t xml:space="preserve">NNH </w:t>
      </w:r>
      <w:r>
        <w:rPr>
          <w:rFonts w:ascii="Arial" w:hAnsi="Arial" w:cs="Arial"/>
          <w:sz w:val="20"/>
          <w:szCs w:val="20"/>
        </w:rPr>
        <w:t>uhradí</w:t>
      </w:r>
      <w:r w:rsidR="00EC48DF">
        <w:rPr>
          <w:rFonts w:ascii="Arial" w:hAnsi="Arial" w:cs="Arial"/>
          <w:sz w:val="20"/>
          <w:szCs w:val="20"/>
        </w:rPr>
        <w:t xml:space="preserve"> VFN částku dle čl. IV. odst. 2 Dohody</w:t>
      </w:r>
      <w:r w:rsidR="00024D0C">
        <w:rPr>
          <w:rFonts w:ascii="Arial" w:hAnsi="Arial" w:cs="Arial"/>
          <w:sz w:val="20"/>
          <w:szCs w:val="20"/>
        </w:rPr>
        <w:t xml:space="preserve"> na účet VFN uvedený v záhlaví Dohody, a to</w:t>
      </w:r>
      <w:r w:rsidR="00EC48DF">
        <w:rPr>
          <w:rFonts w:ascii="Arial" w:hAnsi="Arial" w:cs="Arial"/>
          <w:sz w:val="20"/>
          <w:szCs w:val="20"/>
        </w:rPr>
        <w:t xml:space="preserve"> </w:t>
      </w:r>
      <w:r w:rsidR="00EC48DF" w:rsidRPr="00FE7292">
        <w:rPr>
          <w:rFonts w:ascii="Arial" w:hAnsi="Arial" w:cs="Arial"/>
          <w:sz w:val="20"/>
          <w:szCs w:val="20"/>
        </w:rPr>
        <w:t>do 60 kalendářních dnů</w:t>
      </w:r>
      <w:r w:rsidR="00EC48DF">
        <w:rPr>
          <w:rFonts w:ascii="Arial" w:hAnsi="Arial" w:cs="Arial"/>
          <w:sz w:val="20"/>
          <w:szCs w:val="20"/>
        </w:rPr>
        <w:t xml:space="preserve"> od účinnosti této Dohody.  </w:t>
      </w:r>
    </w:p>
    <w:p w:rsidR="003B7CCC" w:rsidRPr="003B7CCC" w:rsidRDefault="003B7CCC" w:rsidP="003B7CCC">
      <w:pPr>
        <w:pStyle w:val="Odstavecseseznamem"/>
        <w:rPr>
          <w:rFonts w:ascii="Arial" w:hAnsi="Arial" w:cs="Arial"/>
          <w:sz w:val="20"/>
          <w:szCs w:val="20"/>
        </w:rPr>
      </w:pPr>
    </w:p>
    <w:p w:rsidR="003B7CCC" w:rsidRDefault="003B7CCC" w:rsidP="009E563B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Dohody výslovně prohlašují a potvrzují, že </w:t>
      </w:r>
      <w:r w:rsidR="007A2185">
        <w:rPr>
          <w:rFonts w:ascii="Arial" w:hAnsi="Arial" w:cs="Arial"/>
          <w:sz w:val="20"/>
          <w:szCs w:val="20"/>
        </w:rPr>
        <w:t>splněním povinností podle tohoto článku jsou mezi nimi zcela vypořádána veškerá práva na jakékoliv plnění v souvislosti se spornými tvrzeními.</w:t>
      </w:r>
    </w:p>
    <w:p w:rsidR="007A2185" w:rsidRPr="007A2185" w:rsidRDefault="007A2185" w:rsidP="007A2185">
      <w:pPr>
        <w:pStyle w:val="Odstavecseseznamem"/>
        <w:rPr>
          <w:rFonts w:ascii="Arial" w:hAnsi="Arial" w:cs="Arial"/>
          <w:sz w:val="20"/>
          <w:szCs w:val="20"/>
        </w:rPr>
      </w:pPr>
    </w:p>
    <w:p w:rsidR="007A2185" w:rsidRDefault="007A2185" w:rsidP="009E563B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Dohody prohlašují, že ke dni podpisu této Dohody nepřevedli ani nepostoupili práva a povinnosti uvedená v této </w:t>
      </w:r>
      <w:r w:rsidR="00F46CDC">
        <w:rPr>
          <w:rFonts w:ascii="Arial" w:hAnsi="Arial" w:cs="Arial"/>
          <w:sz w:val="20"/>
          <w:szCs w:val="20"/>
        </w:rPr>
        <w:t>Dohodě na třetí osobu. Práva vzniklá z této Dohody nesmí být postoupena bez předchozího písemného souhlasu druhého účastníka této Dohody. Započtení na pohledávky vzniklé z této Dohody se nepřipouští.</w:t>
      </w:r>
    </w:p>
    <w:p w:rsidR="00F46CDC" w:rsidRPr="00F46CDC" w:rsidRDefault="00F46CDC" w:rsidP="00F46CDC">
      <w:pPr>
        <w:pStyle w:val="Odstavecseseznamem"/>
        <w:rPr>
          <w:rFonts w:ascii="Arial" w:hAnsi="Arial" w:cs="Arial"/>
          <w:sz w:val="20"/>
          <w:szCs w:val="20"/>
        </w:rPr>
      </w:pPr>
    </w:p>
    <w:p w:rsidR="00F46CDC" w:rsidRPr="009E563B" w:rsidRDefault="00F46CDC" w:rsidP="009E563B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Zveřejnění obsahu této Dohody, její části nebo poskytnutí jakékoli jiné informace o obsahu a podstatě této Dohody kterýmkoliv účastníkem Dohody není možné bez předchozího </w:t>
      </w:r>
      <w:r w:rsidR="003A6582">
        <w:rPr>
          <w:rFonts w:ascii="Arial" w:hAnsi="Arial" w:cs="Arial"/>
          <w:sz w:val="20"/>
          <w:szCs w:val="20"/>
        </w:rPr>
        <w:t>souhlasu druhého účastníka této Dohody. Za zveřejnění této Dohody nebo poskytnutí informace ve smyslu tohoto ustanovení se nepovažuje poskytnutí obsahu této Dohody nebo informací o ní právním zástupcům účastníků, účetním, daňovým a jiným poradcům účastníků Dohody, kteří jsou vůči účastníkovi této Dohody na základě zákona či smlouvy vázáni povinností mlčenlivosti nebo poskytnutí informací v souladu se zákonem.</w:t>
      </w:r>
    </w:p>
    <w:p w:rsidR="009E563B" w:rsidRDefault="009E563B" w:rsidP="003F1C6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563B" w:rsidRDefault="009E563B" w:rsidP="009E563B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V.</w:t>
      </w:r>
    </w:p>
    <w:p w:rsidR="00F0734D" w:rsidRPr="0023576E" w:rsidRDefault="00F0734D" w:rsidP="003F1C6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ujednání</w:t>
      </w:r>
    </w:p>
    <w:p w:rsidR="00E529DA" w:rsidRPr="0023576E" w:rsidRDefault="00E529DA" w:rsidP="003F1C6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658" w:rsidRPr="0023576E" w:rsidRDefault="00C3057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Nevyplývá-li z ustanovení této D</w:t>
      </w:r>
      <w:r w:rsidR="000C4658" w:rsidRPr="0023576E">
        <w:rPr>
          <w:rFonts w:ascii="Arial" w:hAnsi="Arial" w:cs="Arial"/>
          <w:sz w:val="20"/>
          <w:szCs w:val="20"/>
        </w:rPr>
        <w:t>ohody něco jiného, řídí se práva a povinnosti z ní, jakož i z</w:t>
      </w:r>
      <w:r w:rsidR="006F3EC6" w:rsidRPr="0023576E">
        <w:rPr>
          <w:rFonts w:ascii="Arial" w:hAnsi="Arial" w:cs="Arial"/>
          <w:sz w:val="20"/>
          <w:szCs w:val="20"/>
        </w:rPr>
        <w:t xml:space="preserve"> </w:t>
      </w:r>
      <w:r w:rsidR="000C4658" w:rsidRPr="0023576E">
        <w:rPr>
          <w:rFonts w:ascii="Arial" w:hAnsi="Arial" w:cs="Arial"/>
          <w:sz w:val="20"/>
          <w:szCs w:val="20"/>
        </w:rPr>
        <w:t>jejího případného porušení</w:t>
      </w:r>
      <w:r w:rsidR="00675801">
        <w:rPr>
          <w:rFonts w:ascii="Arial" w:hAnsi="Arial" w:cs="Arial"/>
          <w:sz w:val="20"/>
          <w:szCs w:val="20"/>
        </w:rPr>
        <w:t xml:space="preserve"> českým právním řádem, především pak</w:t>
      </w:r>
      <w:r w:rsidR="000C4658" w:rsidRPr="0023576E">
        <w:rPr>
          <w:rFonts w:ascii="Arial" w:hAnsi="Arial" w:cs="Arial"/>
          <w:sz w:val="20"/>
          <w:szCs w:val="20"/>
        </w:rPr>
        <w:t xml:space="preserve"> příslušnými ustanoveními OZ. 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3EC6" w:rsidRPr="0023576E" w:rsidRDefault="00B7652D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Tato D</w:t>
      </w:r>
      <w:r w:rsidRPr="00E57AD8">
        <w:rPr>
          <w:rFonts w:ascii="Arial" w:hAnsi="Arial" w:cs="Arial"/>
          <w:sz w:val="20"/>
          <w:szCs w:val="20"/>
        </w:rPr>
        <w:t>ohoda nabývá platnosti dnem podpis</w:t>
      </w:r>
      <w:r>
        <w:rPr>
          <w:rFonts w:ascii="Arial" w:hAnsi="Arial" w:cs="Arial"/>
          <w:sz w:val="20"/>
          <w:szCs w:val="20"/>
        </w:rPr>
        <w:t>u posledním z účastníků D</w:t>
      </w:r>
      <w:r w:rsidRPr="00E57AD8">
        <w:rPr>
          <w:rFonts w:ascii="Arial" w:hAnsi="Arial" w:cs="Arial"/>
          <w:sz w:val="20"/>
          <w:szCs w:val="20"/>
        </w:rPr>
        <w:t xml:space="preserve">ohody a účinnosti dnem jejího uveřejnění </w:t>
      </w:r>
      <w:r w:rsidRPr="00465511">
        <w:rPr>
          <w:rFonts w:ascii="Arial" w:hAnsi="Arial" w:cs="Arial"/>
          <w:sz w:val="20"/>
          <w:szCs w:val="20"/>
        </w:rPr>
        <w:t>v registru smluv</w:t>
      </w:r>
      <w:r w:rsidRPr="00E57AD8">
        <w:rPr>
          <w:rFonts w:ascii="Arial" w:hAnsi="Arial" w:cs="Arial"/>
          <w:sz w:val="20"/>
          <w:szCs w:val="20"/>
        </w:rPr>
        <w:t xml:space="preserve"> v souladu se </w:t>
      </w:r>
      <w:r w:rsidR="003D3E6A" w:rsidRPr="003D3E6A">
        <w:rPr>
          <w:rFonts w:ascii="Arial" w:hAnsi="Arial" w:cs="Arial"/>
          <w:sz w:val="20"/>
          <w:szCs w:val="20"/>
        </w:rPr>
        <w:t>zákonem č. 340/2015 Sb., o zvláštních podmínkách účinnosti některých smluv, uveřejňování těchto smluv a o registru smluv (dále jen „</w:t>
      </w:r>
      <w:r w:rsidR="003D3E6A" w:rsidRPr="003D3E6A">
        <w:rPr>
          <w:rFonts w:ascii="Arial" w:hAnsi="Arial" w:cs="Arial"/>
          <w:b/>
          <w:sz w:val="20"/>
          <w:szCs w:val="20"/>
        </w:rPr>
        <w:t>zákon o registru smluv</w:t>
      </w:r>
      <w:r w:rsidR="003D3E6A" w:rsidRPr="003D3E6A">
        <w:rPr>
          <w:rFonts w:ascii="Arial" w:hAnsi="Arial" w:cs="Arial"/>
          <w:sz w:val="20"/>
          <w:szCs w:val="20"/>
        </w:rPr>
        <w:t>“), ve znění pozdějších předpisů</w:t>
      </w:r>
      <w:r>
        <w:rPr>
          <w:rFonts w:ascii="Arial" w:hAnsi="Arial" w:cs="Arial"/>
          <w:sz w:val="20"/>
          <w:szCs w:val="20"/>
        </w:rPr>
        <w:t>. Účastníci D</w:t>
      </w:r>
      <w:r w:rsidRPr="00E57AD8">
        <w:rPr>
          <w:rFonts w:ascii="Arial" w:hAnsi="Arial" w:cs="Arial"/>
          <w:sz w:val="20"/>
          <w:szCs w:val="20"/>
        </w:rPr>
        <w:t xml:space="preserve">ohody jsou povinni ve vzájemné součinnosti jednat tak, aby byly naplněny podmínky </w:t>
      </w:r>
      <w:r w:rsidR="003D3E6A">
        <w:rPr>
          <w:rFonts w:ascii="Arial" w:hAnsi="Arial" w:cs="Arial"/>
          <w:sz w:val="20"/>
          <w:szCs w:val="20"/>
        </w:rPr>
        <w:t>zákona o registru smluv a tato D</w:t>
      </w:r>
      <w:r w:rsidRPr="00E57AD8">
        <w:rPr>
          <w:rFonts w:ascii="Arial" w:hAnsi="Arial" w:cs="Arial"/>
          <w:sz w:val="20"/>
          <w:szCs w:val="20"/>
        </w:rPr>
        <w:t>ohoda nabyla účinnosti bez zbytečného odkladu po jejím uzavření.</w:t>
      </w:r>
      <w:r w:rsidR="003D3E6A">
        <w:rPr>
          <w:rFonts w:ascii="Arial" w:hAnsi="Arial" w:cs="Arial"/>
          <w:sz w:val="20"/>
          <w:szCs w:val="20"/>
        </w:rPr>
        <w:t xml:space="preserve"> Tuto</w:t>
      </w:r>
      <w:r w:rsidRPr="00E57AD8">
        <w:rPr>
          <w:rFonts w:ascii="Arial" w:hAnsi="Arial" w:cs="Arial"/>
          <w:sz w:val="20"/>
          <w:szCs w:val="20"/>
        </w:rPr>
        <w:t xml:space="preserve"> Dohodu v registru smluv uveřejní </w:t>
      </w:r>
      <w:r w:rsidR="003D3E6A">
        <w:rPr>
          <w:rFonts w:ascii="Arial" w:hAnsi="Arial" w:cs="Arial"/>
          <w:sz w:val="20"/>
          <w:szCs w:val="20"/>
        </w:rPr>
        <w:t xml:space="preserve">bez zbytečného odkladu </w:t>
      </w:r>
      <w:r w:rsidR="00F0734D">
        <w:rPr>
          <w:rFonts w:ascii="Arial" w:hAnsi="Arial" w:cs="Arial"/>
          <w:sz w:val="20"/>
          <w:szCs w:val="20"/>
        </w:rPr>
        <w:t>NNH</w:t>
      </w:r>
      <w:r w:rsidRPr="00E57AD8">
        <w:rPr>
          <w:rFonts w:ascii="Arial" w:hAnsi="Arial" w:cs="Arial"/>
          <w:sz w:val="20"/>
          <w:szCs w:val="20"/>
        </w:rPr>
        <w:t>.</w:t>
      </w:r>
      <w:r w:rsidR="006F3EC6" w:rsidRPr="0023576E">
        <w:rPr>
          <w:rFonts w:ascii="Arial" w:hAnsi="Arial" w:cs="Arial"/>
          <w:sz w:val="20"/>
          <w:szCs w:val="20"/>
        </w:rPr>
        <w:t xml:space="preserve"> 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3EC6" w:rsidRPr="0023576E" w:rsidRDefault="000C465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 xml:space="preserve">Pokud některé </w:t>
      </w:r>
      <w:r w:rsidR="008D5C27" w:rsidRPr="0023576E">
        <w:rPr>
          <w:rFonts w:ascii="Arial" w:hAnsi="Arial" w:cs="Arial"/>
          <w:sz w:val="20"/>
          <w:szCs w:val="20"/>
        </w:rPr>
        <w:t>ustanovení</w:t>
      </w:r>
      <w:r w:rsidR="00C30578" w:rsidRPr="0023576E">
        <w:rPr>
          <w:rFonts w:ascii="Arial" w:hAnsi="Arial" w:cs="Arial"/>
          <w:sz w:val="20"/>
          <w:szCs w:val="20"/>
        </w:rPr>
        <w:t xml:space="preserve"> této D</w:t>
      </w:r>
      <w:r w:rsidRPr="0023576E">
        <w:rPr>
          <w:rFonts w:ascii="Arial" w:hAnsi="Arial" w:cs="Arial"/>
          <w:sz w:val="20"/>
          <w:szCs w:val="20"/>
        </w:rPr>
        <w:t>ohody je</w:t>
      </w:r>
      <w:r w:rsidR="008D5C27" w:rsidRPr="0023576E">
        <w:rPr>
          <w:rFonts w:ascii="Arial" w:hAnsi="Arial" w:cs="Arial"/>
          <w:sz w:val="20"/>
          <w:szCs w:val="20"/>
        </w:rPr>
        <w:t xml:space="preserve"> nebo se stane neplatným či neúčinným, neplatnost či neúčinnost tohoto ustanovení nebude mít za následek neplatnost</w:t>
      </w:r>
      <w:r w:rsidR="00C30578" w:rsidRPr="0023576E">
        <w:rPr>
          <w:rFonts w:ascii="Arial" w:hAnsi="Arial" w:cs="Arial"/>
          <w:sz w:val="20"/>
          <w:szCs w:val="20"/>
        </w:rPr>
        <w:t xml:space="preserve"> této D</w:t>
      </w:r>
      <w:r w:rsidR="008D5C27" w:rsidRPr="0023576E">
        <w:rPr>
          <w:rFonts w:ascii="Arial" w:hAnsi="Arial" w:cs="Arial"/>
          <w:sz w:val="20"/>
          <w:szCs w:val="20"/>
        </w:rPr>
        <w:t>ohody jako celku ani jiných ustan</w:t>
      </w:r>
      <w:r w:rsidR="00C30578" w:rsidRPr="0023576E">
        <w:rPr>
          <w:rFonts w:ascii="Arial" w:hAnsi="Arial" w:cs="Arial"/>
          <w:sz w:val="20"/>
          <w:szCs w:val="20"/>
        </w:rPr>
        <w:t>ovení této D</w:t>
      </w:r>
      <w:r w:rsidR="006F3EC6" w:rsidRPr="0023576E">
        <w:rPr>
          <w:rFonts w:ascii="Arial" w:hAnsi="Arial" w:cs="Arial"/>
          <w:sz w:val="20"/>
          <w:szCs w:val="20"/>
        </w:rPr>
        <w:t>ohody, j</w:t>
      </w:r>
      <w:r w:rsidR="008D5C27" w:rsidRPr="0023576E">
        <w:rPr>
          <w:rFonts w:ascii="Arial" w:hAnsi="Arial" w:cs="Arial"/>
          <w:sz w:val="20"/>
          <w:szCs w:val="20"/>
        </w:rPr>
        <w:t>estliže je takovéto neplatné či neúčinné us</w:t>
      </w:r>
      <w:r w:rsidR="00340627" w:rsidRPr="0023576E">
        <w:rPr>
          <w:rFonts w:ascii="Arial" w:hAnsi="Arial" w:cs="Arial"/>
          <w:sz w:val="20"/>
          <w:szCs w:val="20"/>
        </w:rPr>
        <w:t>tanovení oddělitelné od zbytku D</w:t>
      </w:r>
      <w:r w:rsidR="008D5C27" w:rsidRPr="0023576E">
        <w:rPr>
          <w:rFonts w:ascii="Arial" w:hAnsi="Arial" w:cs="Arial"/>
          <w:sz w:val="20"/>
          <w:szCs w:val="20"/>
        </w:rPr>
        <w:t xml:space="preserve">ohody. </w:t>
      </w:r>
      <w:r w:rsidR="00C30578" w:rsidRPr="0023576E">
        <w:rPr>
          <w:rFonts w:ascii="Arial" w:hAnsi="Arial" w:cs="Arial"/>
          <w:sz w:val="20"/>
          <w:szCs w:val="20"/>
        </w:rPr>
        <w:t>Účastníci D</w:t>
      </w:r>
      <w:r w:rsidR="006F3EC6" w:rsidRPr="0023576E">
        <w:rPr>
          <w:rFonts w:ascii="Arial" w:hAnsi="Arial" w:cs="Arial"/>
          <w:sz w:val="20"/>
          <w:szCs w:val="20"/>
        </w:rPr>
        <w:t>ohody</w:t>
      </w:r>
      <w:r w:rsidR="008D5C27" w:rsidRPr="0023576E">
        <w:rPr>
          <w:rFonts w:ascii="Arial" w:hAnsi="Arial" w:cs="Arial"/>
          <w:sz w:val="20"/>
          <w:szCs w:val="20"/>
        </w:rPr>
        <w:t xml:space="preserve"> se zavazují, že bez zbytečného odkladu poté, co neplatnost či neúplnost zjistí, nahradí toto neplatné či neúčinné ustanovení novým, plat</w:t>
      </w:r>
      <w:r w:rsidR="007B3B87">
        <w:rPr>
          <w:rFonts w:ascii="Arial" w:hAnsi="Arial" w:cs="Arial"/>
          <w:sz w:val="20"/>
          <w:szCs w:val="20"/>
        </w:rPr>
        <w:t>ným a účinným ustanovením, které</w:t>
      </w:r>
      <w:r w:rsidR="008D5C27" w:rsidRPr="0023576E">
        <w:rPr>
          <w:rFonts w:ascii="Arial" w:hAnsi="Arial" w:cs="Arial"/>
          <w:sz w:val="20"/>
          <w:szCs w:val="20"/>
        </w:rPr>
        <w:t xml:space="preserve"> svým obsahem bude co nejvěrněji odpovídat podstatě a smyslu původního ustanovení. 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D3E6A" w:rsidRPr="003D3E6A" w:rsidRDefault="008D5C27" w:rsidP="003D3E6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 xml:space="preserve">Jakékoliv spory mezi </w:t>
      </w:r>
      <w:r w:rsidR="00C30578" w:rsidRPr="0023576E">
        <w:rPr>
          <w:rFonts w:ascii="Arial" w:hAnsi="Arial" w:cs="Arial"/>
          <w:sz w:val="20"/>
          <w:szCs w:val="20"/>
        </w:rPr>
        <w:t>účastníky D</w:t>
      </w:r>
      <w:r w:rsidR="006F3EC6" w:rsidRPr="0023576E">
        <w:rPr>
          <w:rFonts w:ascii="Arial" w:hAnsi="Arial" w:cs="Arial"/>
          <w:sz w:val="20"/>
          <w:szCs w:val="20"/>
        </w:rPr>
        <w:t>ohody</w:t>
      </w:r>
      <w:r w:rsidR="00C30578" w:rsidRPr="0023576E">
        <w:rPr>
          <w:rFonts w:ascii="Arial" w:hAnsi="Arial" w:cs="Arial"/>
          <w:sz w:val="20"/>
          <w:szCs w:val="20"/>
        </w:rPr>
        <w:t xml:space="preserve"> vyplývající z této D</w:t>
      </w:r>
      <w:r w:rsidRPr="0023576E">
        <w:rPr>
          <w:rFonts w:ascii="Arial" w:hAnsi="Arial" w:cs="Arial"/>
          <w:sz w:val="20"/>
          <w:szCs w:val="20"/>
        </w:rPr>
        <w:t>ohody nebo</w:t>
      </w:r>
      <w:r w:rsidR="00340627" w:rsidRPr="0023576E">
        <w:rPr>
          <w:rFonts w:ascii="Arial" w:hAnsi="Arial" w:cs="Arial"/>
          <w:sz w:val="20"/>
          <w:szCs w:val="20"/>
        </w:rPr>
        <w:t xml:space="preserve"> vzniklé v souvislosti s touto D</w:t>
      </w:r>
      <w:r w:rsidRPr="0023576E">
        <w:rPr>
          <w:rFonts w:ascii="Arial" w:hAnsi="Arial" w:cs="Arial"/>
          <w:sz w:val="20"/>
          <w:szCs w:val="20"/>
        </w:rPr>
        <w:t xml:space="preserve">ohodou budou řešeny smírnou cestou. </w:t>
      </w:r>
      <w:r w:rsidR="006F3EC6" w:rsidRPr="0023576E">
        <w:rPr>
          <w:rFonts w:ascii="Arial" w:hAnsi="Arial" w:cs="Arial"/>
          <w:sz w:val="20"/>
          <w:szCs w:val="20"/>
        </w:rPr>
        <w:t>Nepodaří-li se smírného řešení dosáhnout do jed</w:t>
      </w:r>
      <w:r w:rsidR="0082710C" w:rsidRPr="0023576E">
        <w:rPr>
          <w:rFonts w:ascii="Arial" w:hAnsi="Arial" w:cs="Arial"/>
          <w:sz w:val="20"/>
          <w:szCs w:val="20"/>
        </w:rPr>
        <w:t>noho měsíce ode dne, kdy některý z účastníků D</w:t>
      </w:r>
      <w:r w:rsidR="006F3EC6" w:rsidRPr="0023576E">
        <w:rPr>
          <w:rFonts w:ascii="Arial" w:hAnsi="Arial" w:cs="Arial"/>
          <w:sz w:val="20"/>
          <w:szCs w:val="20"/>
        </w:rPr>
        <w:t>ohody druhé</w:t>
      </w:r>
      <w:r w:rsidR="005968EC" w:rsidRPr="0023576E">
        <w:rPr>
          <w:rFonts w:ascii="Arial" w:hAnsi="Arial" w:cs="Arial"/>
          <w:sz w:val="20"/>
          <w:szCs w:val="20"/>
        </w:rPr>
        <w:t>mu účastníku</w:t>
      </w:r>
      <w:r w:rsidR="006F3EC6" w:rsidRPr="0023576E">
        <w:rPr>
          <w:rFonts w:ascii="Arial" w:hAnsi="Arial" w:cs="Arial"/>
          <w:sz w:val="20"/>
          <w:szCs w:val="20"/>
        </w:rPr>
        <w:t xml:space="preserve"> oznámí své přesvědčení o existenci sporu nebo svůj návrh na jeho řešení, bude spor rozhodnut na návrh které</w:t>
      </w:r>
      <w:r w:rsidR="00C30578" w:rsidRPr="0023576E">
        <w:rPr>
          <w:rFonts w:ascii="Arial" w:hAnsi="Arial" w:cs="Arial"/>
          <w:sz w:val="20"/>
          <w:szCs w:val="20"/>
        </w:rPr>
        <w:t>hokoli z účastníků Dohody</w:t>
      </w:r>
      <w:r w:rsidR="006F3EC6" w:rsidRPr="0023576E">
        <w:rPr>
          <w:rFonts w:ascii="Arial" w:hAnsi="Arial" w:cs="Arial"/>
          <w:sz w:val="20"/>
          <w:szCs w:val="20"/>
        </w:rPr>
        <w:t xml:space="preserve"> s konečnou platností příslušnými soudy České republiky.</w:t>
      </w:r>
    </w:p>
    <w:p w:rsidR="003D3E6A" w:rsidRDefault="003D3E6A" w:rsidP="003D3E6A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3EC6" w:rsidRPr="0023576E" w:rsidRDefault="00C3057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Tato D</w:t>
      </w:r>
      <w:r w:rsidR="000808DB" w:rsidRPr="0023576E">
        <w:rPr>
          <w:rFonts w:ascii="Arial" w:hAnsi="Arial" w:cs="Arial"/>
          <w:sz w:val="20"/>
          <w:szCs w:val="20"/>
        </w:rPr>
        <w:t>oho</w:t>
      </w:r>
      <w:r w:rsidRPr="0023576E">
        <w:rPr>
          <w:rFonts w:ascii="Arial" w:hAnsi="Arial" w:cs="Arial"/>
          <w:sz w:val="20"/>
          <w:szCs w:val="20"/>
        </w:rPr>
        <w:t xml:space="preserve">da je vyhotovena ve </w:t>
      </w:r>
      <w:r w:rsidR="002C17CC">
        <w:rPr>
          <w:rFonts w:ascii="Arial" w:hAnsi="Arial" w:cs="Arial"/>
          <w:b/>
          <w:sz w:val="20"/>
          <w:szCs w:val="20"/>
        </w:rPr>
        <w:t>čtyřech</w:t>
      </w:r>
      <w:r w:rsidR="00F0734D">
        <w:rPr>
          <w:rFonts w:ascii="Arial" w:hAnsi="Arial" w:cs="Arial"/>
          <w:b/>
          <w:sz w:val="20"/>
          <w:szCs w:val="20"/>
        </w:rPr>
        <w:t xml:space="preserve"> (4</w:t>
      </w:r>
      <w:r w:rsidRPr="00B7652D">
        <w:rPr>
          <w:rFonts w:ascii="Arial" w:hAnsi="Arial" w:cs="Arial"/>
          <w:b/>
          <w:sz w:val="20"/>
          <w:szCs w:val="20"/>
        </w:rPr>
        <w:t>)</w:t>
      </w:r>
      <w:r w:rsidR="000808DB" w:rsidRPr="00B7652D">
        <w:rPr>
          <w:rFonts w:ascii="Arial" w:hAnsi="Arial" w:cs="Arial"/>
          <w:b/>
          <w:sz w:val="20"/>
          <w:szCs w:val="20"/>
        </w:rPr>
        <w:t xml:space="preserve"> </w:t>
      </w:r>
      <w:r w:rsidRPr="00B7652D">
        <w:rPr>
          <w:rFonts w:ascii="Arial" w:hAnsi="Arial" w:cs="Arial"/>
          <w:b/>
          <w:sz w:val="20"/>
          <w:szCs w:val="20"/>
        </w:rPr>
        <w:t>stejnopisech</w:t>
      </w:r>
      <w:r w:rsidRPr="0023576E">
        <w:rPr>
          <w:rFonts w:ascii="Arial" w:hAnsi="Arial" w:cs="Arial"/>
          <w:sz w:val="20"/>
          <w:szCs w:val="20"/>
        </w:rPr>
        <w:t xml:space="preserve">, přičemž </w:t>
      </w:r>
      <w:r w:rsidR="00F0734D">
        <w:rPr>
          <w:rFonts w:ascii="Arial" w:hAnsi="Arial" w:cs="Arial"/>
          <w:sz w:val="20"/>
          <w:szCs w:val="20"/>
        </w:rPr>
        <w:t>každý z účastníků Dohody</w:t>
      </w:r>
      <w:r w:rsidRPr="0023576E">
        <w:rPr>
          <w:rFonts w:ascii="Arial" w:hAnsi="Arial" w:cs="Arial"/>
          <w:sz w:val="20"/>
          <w:szCs w:val="20"/>
        </w:rPr>
        <w:t xml:space="preserve"> obdrží dvě (2) vyhotovení</w:t>
      </w:r>
      <w:r w:rsidR="006F3EC6" w:rsidRPr="0023576E">
        <w:rPr>
          <w:rFonts w:ascii="Arial" w:hAnsi="Arial" w:cs="Arial"/>
          <w:sz w:val="20"/>
          <w:szCs w:val="20"/>
        </w:rPr>
        <w:t xml:space="preserve">. 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08DB" w:rsidRPr="0023576E" w:rsidRDefault="00C3057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Veškeré změny této D</w:t>
      </w:r>
      <w:r w:rsidR="000808DB" w:rsidRPr="0023576E">
        <w:rPr>
          <w:rFonts w:ascii="Arial" w:hAnsi="Arial" w:cs="Arial"/>
          <w:sz w:val="20"/>
          <w:szCs w:val="20"/>
        </w:rPr>
        <w:t>ohody, včetně jejích dodatků</w:t>
      </w:r>
      <w:r w:rsidR="007B3B87">
        <w:rPr>
          <w:rFonts w:ascii="Arial" w:hAnsi="Arial" w:cs="Arial"/>
          <w:sz w:val="20"/>
          <w:szCs w:val="20"/>
        </w:rPr>
        <w:t>,</w:t>
      </w:r>
      <w:r w:rsidR="000808DB" w:rsidRPr="0023576E">
        <w:rPr>
          <w:rFonts w:ascii="Arial" w:hAnsi="Arial" w:cs="Arial"/>
          <w:sz w:val="20"/>
          <w:szCs w:val="20"/>
        </w:rPr>
        <w:t xml:space="preserve"> musí být projevem vůle obou </w:t>
      </w:r>
      <w:r w:rsidR="005968EC" w:rsidRPr="0023576E">
        <w:rPr>
          <w:rFonts w:ascii="Arial" w:hAnsi="Arial" w:cs="Arial"/>
          <w:sz w:val="20"/>
          <w:szCs w:val="20"/>
        </w:rPr>
        <w:t>účastníků Dohody</w:t>
      </w:r>
      <w:r w:rsidRPr="0023576E">
        <w:rPr>
          <w:rFonts w:ascii="Arial" w:hAnsi="Arial" w:cs="Arial"/>
          <w:sz w:val="20"/>
          <w:szCs w:val="20"/>
        </w:rPr>
        <w:t xml:space="preserve"> učiněných v písemné formě.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08DB" w:rsidRPr="0023576E" w:rsidRDefault="0025373E" w:rsidP="003F1C67">
      <w:pPr>
        <w:pStyle w:val="Odstavecseseznamem"/>
        <w:keepNext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Účastníci D</w:t>
      </w:r>
      <w:r w:rsidR="006F3EC6" w:rsidRPr="0023576E">
        <w:rPr>
          <w:rFonts w:ascii="Arial" w:hAnsi="Arial" w:cs="Arial"/>
          <w:sz w:val="20"/>
          <w:szCs w:val="20"/>
        </w:rPr>
        <w:t>ohody</w:t>
      </w:r>
      <w:r w:rsidR="000808DB" w:rsidRPr="0023576E">
        <w:rPr>
          <w:rFonts w:ascii="Arial" w:hAnsi="Arial" w:cs="Arial"/>
          <w:sz w:val="20"/>
          <w:szCs w:val="20"/>
        </w:rPr>
        <w:t xml:space="preserve"> </w:t>
      </w:r>
      <w:r w:rsidR="006F3EC6" w:rsidRPr="0023576E">
        <w:rPr>
          <w:rFonts w:ascii="Arial" w:hAnsi="Arial" w:cs="Arial"/>
          <w:sz w:val="20"/>
          <w:szCs w:val="20"/>
        </w:rPr>
        <w:t>tímto</w:t>
      </w:r>
      <w:r w:rsidR="000808DB" w:rsidRPr="0023576E">
        <w:rPr>
          <w:rFonts w:ascii="Arial" w:hAnsi="Arial" w:cs="Arial"/>
          <w:sz w:val="20"/>
          <w:szCs w:val="20"/>
        </w:rPr>
        <w:t xml:space="preserve"> prohlašují a potvrzují, že </w:t>
      </w:r>
      <w:r w:rsidR="006F3EC6" w:rsidRPr="0023576E">
        <w:rPr>
          <w:rFonts w:ascii="Arial" w:hAnsi="Arial" w:cs="Arial"/>
          <w:sz w:val="20"/>
          <w:szCs w:val="20"/>
        </w:rPr>
        <w:t>všechna</w:t>
      </w:r>
      <w:r w:rsidR="000808DB" w:rsidRPr="0023576E">
        <w:rPr>
          <w:rFonts w:ascii="Arial" w:hAnsi="Arial" w:cs="Arial"/>
          <w:sz w:val="20"/>
          <w:szCs w:val="20"/>
        </w:rPr>
        <w:t xml:space="preserve"> </w:t>
      </w:r>
      <w:r w:rsidR="006F3EC6" w:rsidRPr="0023576E">
        <w:rPr>
          <w:rFonts w:ascii="Arial" w:hAnsi="Arial" w:cs="Arial"/>
          <w:sz w:val="20"/>
          <w:szCs w:val="20"/>
        </w:rPr>
        <w:t>ustanovení</w:t>
      </w:r>
      <w:r w:rsidR="00C30578" w:rsidRPr="0023576E">
        <w:rPr>
          <w:rFonts w:ascii="Arial" w:hAnsi="Arial" w:cs="Arial"/>
          <w:sz w:val="20"/>
          <w:szCs w:val="20"/>
        </w:rPr>
        <w:t xml:space="preserve"> této D</w:t>
      </w:r>
      <w:r w:rsidR="000808DB" w:rsidRPr="0023576E">
        <w:rPr>
          <w:rFonts w:ascii="Arial" w:hAnsi="Arial" w:cs="Arial"/>
          <w:sz w:val="20"/>
          <w:szCs w:val="20"/>
        </w:rPr>
        <w:t xml:space="preserve">ohody byla mezi nimi dohodnuta svobodně a vážně, určitě a srozumitelně a na důkaz toho připojují své podpisy. </w:t>
      </w:r>
    </w:p>
    <w:p w:rsidR="000808DB" w:rsidRPr="0023576E" w:rsidRDefault="000808DB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D140AE" w:rsidRPr="0023576E" w:rsidRDefault="00D140AE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6F3EC6" w:rsidRPr="0023576E" w:rsidRDefault="000808DB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V Praze dne</w:t>
      </w:r>
      <w:r w:rsidR="00D140AE" w:rsidRPr="0023576E">
        <w:rPr>
          <w:rFonts w:ascii="Arial" w:hAnsi="Arial" w:cs="Arial"/>
          <w:sz w:val="20"/>
          <w:szCs w:val="20"/>
        </w:rPr>
        <w:t xml:space="preserve"> ……………</w:t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="00D140AE" w:rsidRPr="0023576E">
        <w:rPr>
          <w:rFonts w:ascii="Arial" w:hAnsi="Arial" w:cs="Arial"/>
          <w:sz w:val="20"/>
          <w:szCs w:val="20"/>
        </w:rPr>
        <w:tab/>
      </w:r>
      <w:r w:rsidR="00D140AE" w:rsidRPr="0023576E">
        <w:rPr>
          <w:rFonts w:ascii="Arial" w:hAnsi="Arial" w:cs="Arial"/>
          <w:sz w:val="20"/>
          <w:szCs w:val="20"/>
        </w:rPr>
        <w:tab/>
        <w:t>V ……………..</w:t>
      </w:r>
      <w:r w:rsidRPr="0023576E">
        <w:rPr>
          <w:rFonts w:ascii="Arial" w:hAnsi="Arial" w:cs="Arial"/>
          <w:sz w:val="20"/>
          <w:szCs w:val="20"/>
        </w:rPr>
        <w:t xml:space="preserve"> dne</w:t>
      </w:r>
      <w:r w:rsidR="00D140AE" w:rsidRPr="0023576E">
        <w:rPr>
          <w:rFonts w:ascii="Arial" w:hAnsi="Arial" w:cs="Arial"/>
          <w:sz w:val="20"/>
          <w:szCs w:val="20"/>
        </w:rPr>
        <w:t xml:space="preserve"> ……………</w:t>
      </w:r>
      <w:r w:rsidR="005968EC" w:rsidRPr="0023576E">
        <w:rPr>
          <w:rFonts w:ascii="Arial" w:hAnsi="Arial" w:cs="Arial"/>
          <w:sz w:val="20"/>
          <w:szCs w:val="20"/>
        </w:rPr>
        <w:tab/>
      </w:r>
    </w:p>
    <w:p w:rsidR="005968EC" w:rsidRPr="0023576E" w:rsidRDefault="005968EC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C23354" w:rsidRDefault="00C23354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675801" w:rsidRDefault="00675801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3D3E6A" w:rsidRPr="0023576E" w:rsidRDefault="003D3E6A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6F3EC6" w:rsidRPr="0023576E" w:rsidRDefault="00FC57D6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__________</w:t>
      </w:r>
      <w:r w:rsidR="006F3EC6" w:rsidRPr="0023576E">
        <w:rPr>
          <w:rFonts w:ascii="Arial" w:hAnsi="Arial" w:cs="Arial"/>
          <w:sz w:val="20"/>
          <w:szCs w:val="20"/>
        </w:rPr>
        <w:t>_______________</w:t>
      </w:r>
      <w:r w:rsidR="005968EC" w:rsidRPr="0023576E">
        <w:rPr>
          <w:rFonts w:ascii="Arial" w:hAnsi="Arial" w:cs="Arial"/>
          <w:sz w:val="20"/>
          <w:szCs w:val="20"/>
        </w:rPr>
        <w:t>____</w:t>
      </w:r>
      <w:r w:rsidR="006F3EC6" w:rsidRPr="0023576E">
        <w:rPr>
          <w:rFonts w:ascii="Arial" w:hAnsi="Arial" w:cs="Arial"/>
          <w:sz w:val="20"/>
          <w:szCs w:val="20"/>
        </w:rPr>
        <w:tab/>
      </w:r>
      <w:r w:rsidR="006F3EC6" w:rsidRPr="0023576E">
        <w:rPr>
          <w:rFonts w:ascii="Arial" w:hAnsi="Arial" w:cs="Arial"/>
          <w:sz w:val="20"/>
          <w:szCs w:val="20"/>
        </w:rPr>
        <w:tab/>
      </w:r>
      <w:r w:rsidR="006F3EC6"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="005968EC" w:rsidRPr="0023576E">
        <w:rPr>
          <w:rFonts w:ascii="Arial" w:hAnsi="Arial" w:cs="Arial"/>
          <w:sz w:val="20"/>
          <w:szCs w:val="20"/>
        </w:rPr>
        <w:t>_____________________________</w:t>
      </w:r>
    </w:p>
    <w:p w:rsidR="005968EC" w:rsidRPr="0023576E" w:rsidRDefault="005968EC" w:rsidP="003F44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za Nemocnici</w:t>
      </w:r>
      <w:r w:rsidR="006F3EC6" w:rsidRPr="0023576E">
        <w:rPr>
          <w:rFonts w:ascii="Arial" w:hAnsi="Arial" w:cs="Arial"/>
          <w:b/>
          <w:sz w:val="20"/>
          <w:szCs w:val="20"/>
        </w:rPr>
        <w:t xml:space="preserve"> Na Homolce</w:t>
      </w:r>
      <w:r w:rsidR="006F3EC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884319"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b/>
          <w:sz w:val="20"/>
          <w:szCs w:val="20"/>
        </w:rPr>
        <w:t xml:space="preserve">za </w:t>
      </w:r>
      <w:r w:rsidR="00D945D4">
        <w:rPr>
          <w:rFonts w:ascii="Arial" w:hAnsi="Arial" w:cs="Arial"/>
          <w:b/>
          <w:sz w:val="20"/>
          <w:szCs w:val="20"/>
        </w:rPr>
        <w:t>Všeobecnou fakultní nemocnici v Praze</w:t>
      </w:r>
      <w:r w:rsidR="006F3EC6" w:rsidRPr="0023576E">
        <w:rPr>
          <w:rFonts w:ascii="Arial" w:hAnsi="Arial" w:cs="Arial"/>
          <w:sz w:val="20"/>
          <w:szCs w:val="20"/>
        </w:rPr>
        <w:br/>
      </w:r>
      <w:r w:rsidR="003D3E6A" w:rsidRPr="00C537C5">
        <w:rPr>
          <w:rFonts w:ascii="Arial" w:hAnsi="Arial" w:cs="Arial"/>
          <w:sz w:val="20"/>
          <w:szCs w:val="20"/>
        </w:rPr>
        <w:t>MUDr. Petr Polouček, MBA</w:t>
      </w:r>
      <w:r w:rsidR="003D3E6A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="00E22895">
        <w:rPr>
          <w:rFonts w:ascii="Arial" w:hAnsi="Arial" w:cs="Arial"/>
          <w:sz w:val="20"/>
          <w:szCs w:val="20"/>
        </w:rPr>
        <w:t>Prof. MUDr. David Feltl, Ph.D., MBA</w:t>
      </w:r>
    </w:p>
    <w:p w:rsidR="006F3EC6" w:rsidRPr="0023576E" w:rsidRDefault="003D3E6A" w:rsidP="003F44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68EC" w:rsidRPr="0023576E">
        <w:rPr>
          <w:rFonts w:ascii="Arial" w:hAnsi="Arial" w:cs="Arial"/>
          <w:sz w:val="20"/>
          <w:szCs w:val="20"/>
        </w:rPr>
        <w:t xml:space="preserve"> </w:t>
      </w:r>
      <w:r w:rsidR="006F3EC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7E644E">
        <w:rPr>
          <w:rFonts w:ascii="Arial" w:hAnsi="Arial" w:cs="Arial"/>
          <w:sz w:val="20"/>
          <w:szCs w:val="20"/>
        </w:rPr>
        <w:t>ředitel</w:t>
      </w:r>
    </w:p>
    <w:sectPr w:rsidR="006F3EC6" w:rsidRPr="0023576E" w:rsidSect="003F441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31" w:rsidRDefault="00187631" w:rsidP="003F4411">
      <w:pPr>
        <w:spacing w:after="0" w:line="240" w:lineRule="auto"/>
      </w:pPr>
      <w:r>
        <w:separator/>
      </w:r>
    </w:p>
  </w:endnote>
  <w:endnote w:type="continuationSeparator" w:id="0">
    <w:p w:rsidR="00187631" w:rsidRDefault="00187631" w:rsidP="003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4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4411" w:rsidRPr="00B86201" w:rsidRDefault="003F4411" w:rsidP="00C23354">
        <w:pPr>
          <w:pStyle w:val="Zpat"/>
          <w:jc w:val="center"/>
          <w:rPr>
            <w:rFonts w:ascii="Times New Roman" w:hAnsi="Times New Roman" w:cs="Times New Roman"/>
          </w:rPr>
        </w:pPr>
        <w:r w:rsidRPr="00B86201">
          <w:rPr>
            <w:rFonts w:ascii="Times New Roman" w:hAnsi="Times New Roman" w:cs="Times New Roman"/>
          </w:rPr>
          <w:fldChar w:fldCharType="begin"/>
        </w:r>
        <w:r w:rsidRPr="00B86201">
          <w:rPr>
            <w:rFonts w:ascii="Times New Roman" w:hAnsi="Times New Roman" w:cs="Times New Roman"/>
          </w:rPr>
          <w:instrText>PAGE   \* MERGEFORMAT</w:instrText>
        </w:r>
        <w:r w:rsidRPr="00B86201">
          <w:rPr>
            <w:rFonts w:ascii="Times New Roman" w:hAnsi="Times New Roman" w:cs="Times New Roman"/>
          </w:rPr>
          <w:fldChar w:fldCharType="separate"/>
        </w:r>
        <w:r w:rsidR="00E92630">
          <w:rPr>
            <w:rFonts w:ascii="Times New Roman" w:hAnsi="Times New Roman" w:cs="Times New Roman"/>
            <w:noProof/>
          </w:rPr>
          <w:t>1</w:t>
        </w:r>
        <w:r w:rsidRPr="00B86201">
          <w:rPr>
            <w:rFonts w:ascii="Times New Roman" w:hAnsi="Times New Roman" w:cs="Times New Roman"/>
          </w:rPr>
          <w:fldChar w:fldCharType="end"/>
        </w:r>
      </w:p>
    </w:sdtContent>
  </w:sdt>
  <w:p w:rsidR="003F4411" w:rsidRDefault="003F44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31" w:rsidRDefault="00187631" w:rsidP="003F4411">
      <w:pPr>
        <w:spacing w:after="0" w:line="240" w:lineRule="auto"/>
      </w:pPr>
      <w:r>
        <w:separator/>
      </w:r>
    </w:p>
  </w:footnote>
  <w:footnote w:type="continuationSeparator" w:id="0">
    <w:p w:rsidR="00187631" w:rsidRDefault="00187631" w:rsidP="003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AE" w:rsidRDefault="00D140AE" w:rsidP="00D140AE">
    <w:pPr>
      <w:pStyle w:val="Zhlav"/>
      <w:tabs>
        <w:tab w:val="clear" w:pos="4536"/>
        <w:tab w:val="clear" w:pos="9072"/>
        <w:tab w:val="center" w:pos="4873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-257175</wp:posOffset>
          </wp:positionV>
          <wp:extent cx="2657475" cy="722630"/>
          <wp:effectExtent l="0" t="0" r="9525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140AE" w:rsidRDefault="00D140AE" w:rsidP="00D140AE">
    <w:pPr>
      <w:pStyle w:val="Zhlav"/>
      <w:tabs>
        <w:tab w:val="clear" w:pos="4536"/>
        <w:tab w:val="clear" w:pos="9072"/>
        <w:tab w:val="center" w:pos="4873"/>
      </w:tabs>
    </w:pPr>
  </w:p>
  <w:p w:rsidR="00D140AE" w:rsidRDefault="00D140AE" w:rsidP="00D140AE">
    <w:pPr>
      <w:pStyle w:val="Zhlav"/>
      <w:tabs>
        <w:tab w:val="clear" w:pos="4536"/>
        <w:tab w:val="clear" w:pos="9072"/>
        <w:tab w:val="center" w:pos="4873"/>
      </w:tabs>
    </w:pPr>
  </w:p>
  <w:p w:rsidR="00D140AE" w:rsidRPr="00D140AE" w:rsidRDefault="00D140AE" w:rsidP="00C23354">
    <w:pPr>
      <w:pStyle w:val="Zhlav"/>
      <w:tabs>
        <w:tab w:val="clear" w:pos="4536"/>
        <w:tab w:val="clear" w:pos="9072"/>
        <w:tab w:val="center" w:pos="4873"/>
      </w:tabs>
      <w:spacing w:line="276" w:lineRule="auto"/>
      <w:rPr>
        <w:sz w:val="16"/>
        <w:szCs w:val="16"/>
      </w:rPr>
    </w:pPr>
  </w:p>
  <w:p w:rsidR="00D140AE" w:rsidRPr="00D140AE" w:rsidRDefault="00D140AE" w:rsidP="00D140AE">
    <w:pPr>
      <w:pStyle w:val="Zhlav"/>
      <w:tabs>
        <w:tab w:val="clear" w:pos="4536"/>
        <w:tab w:val="clear" w:pos="9072"/>
        <w:tab w:val="center" w:pos="487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6D5"/>
    <w:multiLevelType w:val="hybridMultilevel"/>
    <w:tmpl w:val="66765720"/>
    <w:lvl w:ilvl="0" w:tplc="E6281EC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645C"/>
    <w:multiLevelType w:val="hybridMultilevel"/>
    <w:tmpl w:val="55F89080"/>
    <w:lvl w:ilvl="0" w:tplc="2444A2E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F7814"/>
    <w:multiLevelType w:val="hybridMultilevel"/>
    <w:tmpl w:val="C7A46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7FC4"/>
    <w:multiLevelType w:val="hybridMultilevel"/>
    <w:tmpl w:val="C508560C"/>
    <w:lvl w:ilvl="0" w:tplc="C9C63D0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086332"/>
    <w:multiLevelType w:val="hybridMultilevel"/>
    <w:tmpl w:val="763A1114"/>
    <w:lvl w:ilvl="0" w:tplc="73062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307"/>
    <w:multiLevelType w:val="hybridMultilevel"/>
    <w:tmpl w:val="4C6E7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37FE1"/>
    <w:multiLevelType w:val="hybridMultilevel"/>
    <w:tmpl w:val="85407AB6"/>
    <w:lvl w:ilvl="0" w:tplc="2982D6F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3628"/>
    <w:multiLevelType w:val="hybridMultilevel"/>
    <w:tmpl w:val="85407AB6"/>
    <w:lvl w:ilvl="0" w:tplc="2982D6F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80F37"/>
    <w:multiLevelType w:val="hybridMultilevel"/>
    <w:tmpl w:val="D91CC792"/>
    <w:lvl w:ilvl="0" w:tplc="0B1A3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E4F5D"/>
    <w:multiLevelType w:val="hybridMultilevel"/>
    <w:tmpl w:val="94307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B6DB4"/>
    <w:multiLevelType w:val="hybridMultilevel"/>
    <w:tmpl w:val="F942F3E4"/>
    <w:lvl w:ilvl="0" w:tplc="2248A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A6FCE"/>
    <w:multiLevelType w:val="hybridMultilevel"/>
    <w:tmpl w:val="8B469182"/>
    <w:lvl w:ilvl="0" w:tplc="CC5C9EE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E0E0B"/>
    <w:multiLevelType w:val="hybridMultilevel"/>
    <w:tmpl w:val="52088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8"/>
    <w:rsid w:val="00024D0C"/>
    <w:rsid w:val="000273AC"/>
    <w:rsid w:val="000743F8"/>
    <w:rsid w:val="000808DB"/>
    <w:rsid w:val="00080E91"/>
    <w:rsid w:val="00093F96"/>
    <w:rsid w:val="000A67A9"/>
    <w:rsid w:val="000C4658"/>
    <w:rsid w:val="000D7D19"/>
    <w:rsid w:val="00104629"/>
    <w:rsid w:val="00111ED7"/>
    <w:rsid w:val="0013468B"/>
    <w:rsid w:val="00151EA0"/>
    <w:rsid w:val="00170C72"/>
    <w:rsid w:val="00187631"/>
    <w:rsid w:val="00190D85"/>
    <w:rsid w:val="001B6228"/>
    <w:rsid w:val="001F74A0"/>
    <w:rsid w:val="00200CAC"/>
    <w:rsid w:val="00206AAE"/>
    <w:rsid w:val="00217E43"/>
    <w:rsid w:val="0023576E"/>
    <w:rsid w:val="0025373E"/>
    <w:rsid w:val="00255175"/>
    <w:rsid w:val="0026369F"/>
    <w:rsid w:val="002B6E22"/>
    <w:rsid w:val="002C17CC"/>
    <w:rsid w:val="002E33D1"/>
    <w:rsid w:val="002E751B"/>
    <w:rsid w:val="002F1322"/>
    <w:rsid w:val="0030431A"/>
    <w:rsid w:val="00313236"/>
    <w:rsid w:val="00323208"/>
    <w:rsid w:val="00331588"/>
    <w:rsid w:val="00340627"/>
    <w:rsid w:val="003409B3"/>
    <w:rsid w:val="003410CE"/>
    <w:rsid w:val="00343639"/>
    <w:rsid w:val="00385D75"/>
    <w:rsid w:val="003A2AF0"/>
    <w:rsid w:val="003A6582"/>
    <w:rsid w:val="003B4E96"/>
    <w:rsid w:val="003B7CCC"/>
    <w:rsid w:val="003C5C2F"/>
    <w:rsid w:val="003D3E6A"/>
    <w:rsid w:val="003E0C35"/>
    <w:rsid w:val="003F1C67"/>
    <w:rsid w:val="003F4411"/>
    <w:rsid w:val="003F6D42"/>
    <w:rsid w:val="00436A3A"/>
    <w:rsid w:val="00462079"/>
    <w:rsid w:val="00465511"/>
    <w:rsid w:val="00470014"/>
    <w:rsid w:val="004864B5"/>
    <w:rsid w:val="00494F62"/>
    <w:rsid w:val="004B38FE"/>
    <w:rsid w:val="004B6283"/>
    <w:rsid w:val="004C671E"/>
    <w:rsid w:val="004D6BEB"/>
    <w:rsid w:val="004D6DB3"/>
    <w:rsid w:val="005131BC"/>
    <w:rsid w:val="00533EAC"/>
    <w:rsid w:val="0058099E"/>
    <w:rsid w:val="005968EC"/>
    <w:rsid w:val="005F007F"/>
    <w:rsid w:val="0062091D"/>
    <w:rsid w:val="00640333"/>
    <w:rsid w:val="00651B35"/>
    <w:rsid w:val="006620D0"/>
    <w:rsid w:val="00675801"/>
    <w:rsid w:val="006B44E4"/>
    <w:rsid w:val="006C01F0"/>
    <w:rsid w:val="006C1B07"/>
    <w:rsid w:val="006C7FF6"/>
    <w:rsid w:val="006D443E"/>
    <w:rsid w:val="006D6BD5"/>
    <w:rsid w:val="006E169B"/>
    <w:rsid w:val="006E5AE7"/>
    <w:rsid w:val="006F3EC6"/>
    <w:rsid w:val="006F43F3"/>
    <w:rsid w:val="006F6F86"/>
    <w:rsid w:val="00703664"/>
    <w:rsid w:val="00735C32"/>
    <w:rsid w:val="00757ECB"/>
    <w:rsid w:val="00764AC3"/>
    <w:rsid w:val="0078774F"/>
    <w:rsid w:val="007A2185"/>
    <w:rsid w:val="007B23B0"/>
    <w:rsid w:val="007B3B87"/>
    <w:rsid w:val="007B3C66"/>
    <w:rsid w:val="007C4A19"/>
    <w:rsid w:val="007C5203"/>
    <w:rsid w:val="007D60DB"/>
    <w:rsid w:val="007E0419"/>
    <w:rsid w:val="007E644E"/>
    <w:rsid w:val="0082710C"/>
    <w:rsid w:val="008711A8"/>
    <w:rsid w:val="00882528"/>
    <w:rsid w:val="00884319"/>
    <w:rsid w:val="008D5C27"/>
    <w:rsid w:val="008F1057"/>
    <w:rsid w:val="008F54B6"/>
    <w:rsid w:val="008F63E4"/>
    <w:rsid w:val="00913173"/>
    <w:rsid w:val="00970396"/>
    <w:rsid w:val="009C195F"/>
    <w:rsid w:val="009D7744"/>
    <w:rsid w:val="009E563B"/>
    <w:rsid w:val="00A30142"/>
    <w:rsid w:val="00A41336"/>
    <w:rsid w:val="00A563B6"/>
    <w:rsid w:val="00A658FC"/>
    <w:rsid w:val="00A8329B"/>
    <w:rsid w:val="00AA023D"/>
    <w:rsid w:val="00AA0A02"/>
    <w:rsid w:val="00AA32B2"/>
    <w:rsid w:val="00AE6F16"/>
    <w:rsid w:val="00AF68FE"/>
    <w:rsid w:val="00AF7701"/>
    <w:rsid w:val="00B05EF2"/>
    <w:rsid w:val="00B22DFC"/>
    <w:rsid w:val="00B42612"/>
    <w:rsid w:val="00B530DF"/>
    <w:rsid w:val="00B67A5D"/>
    <w:rsid w:val="00B7652D"/>
    <w:rsid w:val="00B826C8"/>
    <w:rsid w:val="00B86201"/>
    <w:rsid w:val="00B91D76"/>
    <w:rsid w:val="00B978FC"/>
    <w:rsid w:val="00BB6482"/>
    <w:rsid w:val="00BC3597"/>
    <w:rsid w:val="00C0457F"/>
    <w:rsid w:val="00C23354"/>
    <w:rsid w:val="00C30578"/>
    <w:rsid w:val="00C36051"/>
    <w:rsid w:val="00C37CB6"/>
    <w:rsid w:val="00C40A60"/>
    <w:rsid w:val="00C8748C"/>
    <w:rsid w:val="00C909D6"/>
    <w:rsid w:val="00C90BEE"/>
    <w:rsid w:val="00CB265F"/>
    <w:rsid w:val="00CE68C6"/>
    <w:rsid w:val="00CF3715"/>
    <w:rsid w:val="00D140AE"/>
    <w:rsid w:val="00D30CC0"/>
    <w:rsid w:val="00D32D84"/>
    <w:rsid w:val="00D86D51"/>
    <w:rsid w:val="00D945D4"/>
    <w:rsid w:val="00DB3B0D"/>
    <w:rsid w:val="00DE1A0B"/>
    <w:rsid w:val="00DF6085"/>
    <w:rsid w:val="00E0715F"/>
    <w:rsid w:val="00E22895"/>
    <w:rsid w:val="00E37F9F"/>
    <w:rsid w:val="00E47C7B"/>
    <w:rsid w:val="00E529DA"/>
    <w:rsid w:val="00E60AB2"/>
    <w:rsid w:val="00E60B9F"/>
    <w:rsid w:val="00E75036"/>
    <w:rsid w:val="00E92630"/>
    <w:rsid w:val="00EC48DF"/>
    <w:rsid w:val="00F0734D"/>
    <w:rsid w:val="00F1144E"/>
    <w:rsid w:val="00F40974"/>
    <w:rsid w:val="00F46CDC"/>
    <w:rsid w:val="00F81156"/>
    <w:rsid w:val="00F929DD"/>
    <w:rsid w:val="00FA7704"/>
    <w:rsid w:val="00FC57D6"/>
    <w:rsid w:val="00FC79FC"/>
    <w:rsid w:val="00FD35A8"/>
    <w:rsid w:val="00FD6AF5"/>
    <w:rsid w:val="00FE46D0"/>
    <w:rsid w:val="00FE7292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D828E1-2620-4F31-B05F-1F0A216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1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1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6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6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6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6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411"/>
  </w:style>
  <w:style w:type="paragraph" w:styleId="Zpat">
    <w:name w:val="footer"/>
    <w:basedOn w:val="Normln"/>
    <w:link w:val="ZpatChar"/>
    <w:uiPriority w:val="99"/>
    <w:unhideWhenUsed/>
    <w:rsid w:val="003F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411"/>
  </w:style>
  <w:style w:type="character" w:customStyle="1" w:styleId="platne1">
    <w:name w:val="platne1"/>
    <w:rsid w:val="00F8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8815">
                                  <w:marLeft w:val="5"/>
                                  <w:marRight w:val="5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2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9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29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6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8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2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2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58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B498-ECFE-4CFA-8162-EEC94B23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6085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Galáž</dc:creator>
  <cp:keywords/>
  <dc:description/>
  <cp:lastModifiedBy>Križánek Milan</cp:lastModifiedBy>
  <cp:revision>2</cp:revision>
  <cp:lastPrinted>2019-07-24T07:17:00Z</cp:lastPrinted>
  <dcterms:created xsi:type="dcterms:W3CDTF">2019-09-24T07:51:00Z</dcterms:created>
  <dcterms:modified xsi:type="dcterms:W3CDTF">2019-09-24T07:51:00Z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10939@vfn.cz</vt:lpwstr>
  </property>
  <property fmtid="{D5CDD505-2E9C-101B-9397-08002B2CF9AE}" pid="5" name="MSIP_Label_2063cd7f-2d21-486a-9f29-9c1683fdd175_SetDate">
    <vt:lpwstr>2019-09-23T10:01:13.4174431Z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