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8F" w:rsidRDefault="009E408F">
      <w:pPr>
        <w:pStyle w:val="Zkladntext1"/>
        <w:shd w:val="clear" w:color="auto" w:fill="auto"/>
        <w:tabs>
          <w:tab w:val="left" w:pos="4042"/>
          <w:tab w:val="left" w:pos="4675"/>
        </w:tabs>
        <w:spacing w:after="0"/>
        <w:ind w:left="2880"/>
      </w:pPr>
    </w:p>
    <w:p w:rsidR="009E408F" w:rsidRDefault="00AA209A">
      <w:pPr>
        <w:pStyle w:val="Zkladntext1"/>
        <w:shd w:val="clear" w:color="auto" w:fill="auto"/>
        <w:spacing w:after="240" w:line="180" w:lineRule="auto"/>
        <w:jc w:val="center"/>
      </w:pPr>
      <w:r>
        <w:rPr>
          <w:b/>
          <w:bCs/>
        </w:rPr>
        <w:t>Smlouva o přepravě věcí</w:t>
      </w:r>
    </w:p>
    <w:p w:rsidR="009E408F" w:rsidRDefault="00AA209A">
      <w:pPr>
        <w:pStyle w:val="Zkladntext1"/>
        <w:shd w:val="clear" w:color="auto" w:fill="auto"/>
        <w:spacing w:after="240"/>
        <w:jc w:val="center"/>
      </w:pPr>
      <w:r>
        <w:t>Číslo smlouvy dle objednatele: NG/1048/2019</w:t>
      </w:r>
    </w:p>
    <w:p w:rsidR="009E408F" w:rsidRDefault="00AA209A">
      <w:pPr>
        <w:pStyle w:val="Zkladntext1"/>
        <w:shd w:val="clear" w:color="auto" w:fill="auto"/>
        <w:spacing w:after="740"/>
        <w:jc w:val="center"/>
      </w:pPr>
      <w:r>
        <w:rPr>
          <w:b/>
          <w:bCs/>
        </w:rPr>
        <w:t>Dodatek č. 1</w:t>
      </w:r>
    </w:p>
    <w:p w:rsidR="009E408F" w:rsidRDefault="00AA209A">
      <w:pPr>
        <w:pStyle w:val="Zkladntext1"/>
        <w:shd w:val="clear" w:color="auto" w:fill="auto"/>
        <w:spacing w:after="500"/>
      </w:pPr>
      <w:r>
        <w:rPr>
          <w:b/>
          <w:bCs/>
          <w:i/>
          <w:iCs/>
        </w:rP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5419"/>
      </w:tblGrid>
      <w:tr w:rsidR="009E408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Národní galerie v Praze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Staroměstské nám. 606/12, 110 15 Praha 1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Ing. Alenou Anne-Marií Nedoma, generální ředitelkou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00023281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CZ00023281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475" w:type="dxa"/>
            <w:shd w:val="clear" w:color="auto" w:fill="FFFFFF"/>
            <w:vAlign w:val="center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5419" w:type="dxa"/>
            <w:shd w:val="clear" w:color="auto" w:fill="FFFFFF"/>
            <w:vAlign w:val="center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ČNB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050008-0008839011/0710</w:t>
            </w:r>
          </w:p>
        </w:tc>
      </w:tr>
    </w:tbl>
    <w:p w:rsidR="009E408F" w:rsidRDefault="009E408F">
      <w:pPr>
        <w:spacing w:after="79" w:line="1" w:lineRule="exact"/>
      </w:pPr>
    </w:p>
    <w:p w:rsidR="009E408F" w:rsidRDefault="00AA209A">
      <w:pPr>
        <w:pStyle w:val="Zkladntext1"/>
        <w:shd w:val="clear" w:color="auto" w:fill="auto"/>
        <w:spacing w:after="240"/>
      </w:pPr>
      <w:r>
        <w:t>(dále jen "</w:t>
      </w:r>
      <w:r>
        <w:rPr>
          <w:b/>
          <w:bCs/>
        </w:rPr>
        <w:t>objednatel</w:t>
      </w:r>
      <w:r>
        <w:t>")</w:t>
      </w:r>
    </w:p>
    <w:p w:rsidR="009E408F" w:rsidRDefault="00AA209A">
      <w:pPr>
        <w:pStyle w:val="Zkladntext1"/>
        <w:shd w:val="clear" w:color="auto" w:fill="auto"/>
        <w:spacing w:after="300"/>
      </w:pPr>
      <w:r>
        <w:rPr>
          <w:b/>
          <w:bCs/>
        </w:rPr>
        <w:t>a</w:t>
      </w:r>
    </w:p>
    <w:p w:rsidR="009E408F" w:rsidRDefault="00AA209A">
      <w:pPr>
        <w:pStyle w:val="Titulektabulky0"/>
        <w:shd w:val="clear" w:color="auto" w:fill="auto"/>
      </w:pPr>
      <w:proofErr w:type="spellStart"/>
      <w:r>
        <w:t>Artex</w:t>
      </w:r>
      <w:proofErr w:type="spellEnd"/>
      <w:r>
        <w:t xml:space="preserve"> Art </w:t>
      </w:r>
      <w:proofErr w:type="spellStart"/>
      <w:r>
        <w:t>Services</w:t>
      </w:r>
      <w:proofErr w:type="spellEnd"/>
      <w:r>
        <w:t>, s.r.o.</w:t>
      </w:r>
    </w:p>
    <w:p w:rsidR="009E408F" w:rsidRDefault="00AA209A">
      <w:pPr>
        <w:pStyle w:val="Titulektabulky0"/>
        <w:shd w:val="clear" w:color="auto" w:fill="auto"/>
      </w:pPr>
      <w:r>
        <w:rPr>
          <w:b w:val="0"/>
          <w:bCs w:val="0"/>
        </w:rPr>
        <w:t>se sídlem: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5419"/>
      </w:tblGrid>
      <w:tr w:rsidR="009E408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1B553F" w:rsidRDefault="001B553F">
            <w:pPr>
              <w:pStyle w:val="Jin0"/>
              <w:shd w:val="clear" w:color="auto" w:fill="auto"/>
              <w:spacing w:after="0"/>
            </w:pPr>
            <w:r>
              <w:t>XXXXXXXXXXXX</w:t>
            </w:r>
            <w:r w:rsidR="00AA209A">
              <w:t xml:space="preserve">, jednatelem společnosti 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28526147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CZ28526147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75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 xml:space="preserve">Zapsaná v obch. </w:t>
            </w:r>
            <w:proofErr w:type="gramStart"/>
            <w:r>
              <w:t>rejstříku</w:t>
            </w:r>
            <w:proofErr w:type="gramEnd"/>
            <w:r>
              <w:t xml:space="preserve"> </w:t>
            </w:r>
            <w:r>
              <w:t>vedeném u: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Městského soudu v Praze, 4. března 2009</w:t>
            </w:r>
          </w:p>
        </w:tc>
      </w:tr>
      <w:tr w:rsidR="009E408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475" w:type="dxa"/>
            <w:shd w:val="clear" w:color="auto" w:fill="FFFFFF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5419" w:type="dxa"/>
            <w:shd w:val="clear" w:color="auto" w:fill="FFFFFF"/>
          </w:tcPr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ČSOB</w:t>
            </w:r>
          </w:p>
          <w:p w:rsidR="009E408F" w:rsidRDefault="00AA209A">
            <w:pPr>
              <w:pStyle w:val="Jin0"/>
              <w:shd w:val="clear" w:color="auto" w:fill="auto"/>
              <w:spacing w:after="0"/>
            </w:pPr>
            <w:r>
              <w:t>228551802/0300</w:t>
            </w:r>
          </w:p>
        </w:tc>
      </w:tr>
    </w:tbl>
    <w:p w:rsidR="009E408F" w:rsidRDefault="009E408F">
      <w:pPr>
        <w:spacing w:after="239" w:line="1" w:lineRule="exact"/>
      </w:pPr>
    </w:p>
    <w:p w:rsidR="009E408F" w:rsidRDefault="00AA209A">
      <w:pPr>
        <w:pStyle w:val="Zkladntext1"/>
        <w:shd w:val="clear" w:color="auto" w:fill="auto"/>
        <w:spacing w:after="500"/>
      </w:pPr>
      <w:r>
        <w:t>(dále jen "</w:t>
      </w:r>
      <w:r>
        <w:rPr>
          <w:b/>
          <w:bCs/>
        </w:rPr>
        <w:t>zhotovitel</w:t>
      </w:r>
      <w:r>
        <w:t>")</w:t>
      </w:r>
    </w:p>
    <w:p w:rsidR="009E408F" w:rsidRDefault="00AA209A">
      <w:pPr>
        <w:pStyle w:val="Zkladntext1"/>
        <w:shd w:val="clear" w:color="auto" w:fill="auto"/>
        <w:spacing w:after="500"/>
      </w:pPr>
      <w:r>
        <w:t xml:space="preserve">Smluvní strany uzavřely dne 3. července 2019 smlouvu o přepravě věcí č. NG/1048/2019, jejímž předmětem je závazek poskytovatele </w:t>
      </w:r>
      <w:r>
        <w:t xml:space="preserve">zajistit pro objednatele transporty a uměleckých děl a exponátů pro výstavu Alberto </w:t>
      </w:r>
      <w:proofErr w:type="spellStart"/>
      <w:r>
        <w:t>Giacometti</w:t>
      </w:r>
      <w:proofErr w:type="spellEnd"/>
      <w:r>
        <w:t>, a to včetně souvisejících služeb.</w:t>
      </w:r>
    </w:p>
    <w:p w:rsidR="009E408F" w:rsidRDefault="00AA209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I.</w:t>
      </w:r>
      <w:bookmarkEnd w:id="0"/>
      <w:bookmarkEnd w:id="1"/>
    </w:p>
    <w:p w:rsidR="009E408F" w:rsidRDefault="00AA209A">
      <w:pPr>
        <w:pStyle w:val="Zkladntext1"/>
        <w:shd w:val="clear" w:color="auto" w:fill="auto"/>
        <w:spacing w:after="0"/>
        <w:ind w:left="300" w:hanging="300"/>
        <w:jc w:val="both"/>
      </w:pPr>
      <w:r>
        <w:rPr>
          <w:b/>
          <w:bCs/>
        </w:rPr>
        <w:t xml:space="preserve">1. </w:t>
      </w:r>
      <w:r>
        <w:t>S ohledem, na dodatečné změny v zajištění kurýrního servisu během instalace exponátů, balení exponátů a harmonogramu svo</w:t>
      </w:r>
      <w:r>
        <w:t>zů v průběhu transportu na výstavu, dohodly se smluvní strany na změně čl. VI., bodu 1. výše uvedené smlouvy.</w:t>
      </w:r>
    </w:p>
    <w:p w:rsidR="009E408F" w:rsidRDefault="00AA209A">
      <w:pPr>
        <w:pStyle w:val="Zkladntext1"/>
        <w:shd w:val="clear" w:color="auto" w:fill="auto"/>
        <w:spacing w:after="500"/>
        <w:ind w:firstLine="300"/>
      </w:pPr>
      <w:r>
        <w:t>Čl. VI., bod 1. výše uvedené smlouvy nově zní takto:</w:t>
      </w:r>
    </w:p>
    <w:p w:rsidR="009E408F" w:rsidRDefault="00AA209A">
      <w:pPr>
        <w:pStyle w:val="Zkladntext1"/>
        <w:shd w:val="clear" w:color="auto" w:fill="auto"/>
        <w:spacing w:after="0"/>
        <w:jc w:val="center"/>
      </w:pPr>
      <w:r>
        <w:rPr>
          <w:b/>
          <w:bCs/>
          <w:i/>
          <w:iCs/>
        </w:rPr>
        <w:t>“ IV.</w:t>
      </w:r>
    </w:p>
    <w:p w:rsidR="009E408F" w:rsidRDefault="00AA209A">
      <w:pPr>
        <w:pStyle w:val="Zkladntext1"/>
        <w:shd w:val="clear" w:color="auto" w:fill="auto"/>
        <w:spacing w:after="400"/>
        <w:ind w:left="300" w:hanging="300"/>
      </w:pPr>
      <w:r>
        <w:rPr>
          <w:i/>
          <w:iCs/>
        </w:rPr>
        <w:t xml:space="preserve">1. Cena za přepravu exponátů a za služby s tím související podle této smlouvy, včetně </w:t>
      </w:r>
      <w:r>
        <w:rPr>
          <w:i/>
          <w:iCs/>
        </w:rPr>
        <w:t>zabalení a dalších nutně souvisejících činností a cena kurýrních výloh činí na základě skutečností známých ke dni podání nabídky a tam kde odpovídající skutečnosti známy nejsou na základě odhadu částku 2.096.171,-Kč bez DPH. Výše DPH bude účtována v zákone</w:t>
      </w:r>
      <w:r>
        <w:rPr>
          <w:i/>
          <w:iCs/>
        </w:rPr>
        <w:t>m stanovené výši v den zdanitelného plnění.”</w:t>
      </w:r>
      <w:r>
        <w:br w:type="page"/>
      </w:r>
    </w:p>
    <w:p w:rsidR="009E408F" w:rsidRDefault="00AA209A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II.</w:t>
      </w:r>
      <w:bookmarkEnd w:id="2"/>
      <w:bookmarkEnd w:id="3"/>
    </w:p>
    <w:p w:rsidR="009E408F" w:rsidRDefault="00AA209A">
      <w:pPr>
        <w:pStyle w:val="Zkladntext1"/>
        <w:shd w:val="clear" w:color="auto" w:fill="auto"/>
        <w:spacing w:after="500"/>
        <w:ind w:left="300" w:hanging="300"/>
      </w:pPr>
      <w:r>
        <w:t>1. Dodatečné služby jsou nezbytné pro realizaci výstavy. Změna v osobě dodavatele není možná, neboť se jedná o vysoce specializovaného, certifikovaného dodavatele, který zajišťuje komplexní transportní služ</w:t>
      </w:r>
      <w:r>
        <w:t>by výstavy. Změny služeb nebyly zahrnuty v původním závazku ze smlouvy. Hodnota změn nepřekročí 50% původní hodnoty závazku, resp. celkový cenový nárůst související se změnami při odečtení služeb, které nebyly realizovány, nepřekročí 30% původní hodnoty zá</w:t>
      </w:r>
      <w:r>
        <w:t>vazku.</w:t>
      </w:r>
    </w:p>
    <w:p w:rsidR="009E408F" w:rsidRDefault="00AA209A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III.</w:t>
      </w:r>
      <w:bookmarkEnd w:id="4"/>
      <w:bookmarkEnd w:id="5"/>
    </w:p>
    <w:p w:rsidR="009E408F" w:rsidRDefault="00AA209A">
      <w:pPr>
        <w:pStyle w:val="Zkladntext1"/>
        <w:shd w:val="clear" w:color="auto" w:fill="auto"/>
        <w:spacing w:after="0"/>
      </w:pPr>
      <w:r>
        <w:t xml:space="preserve">1. Ostatní ujednání výše uvedené smlouvy, nedotčené tímto dodatkem zůstávají v platnosti </w:t>
      </w:r>
      <w:proofErr w:type="gramStart"/>
      <w:r>
        <w:t>beze</w:t>
      </w:r>
      <w:proofErr w:type="gramEnd"/>
    </w:p>
    <w:p w:rsidR="009E408F" w:rsidRDefault="00AA209A">
      <w:pPr>
        <w:pStyle w:val="Zkladntext1"/>
        <w:shd w:val="clear" w:color="auto" w:fill="auto"/>
        <w:spacing w:after="40"/>
        <w:ind w:firstLine="300"/>
      </w:pPr>
      <w:r>
        <w:t>změny.</w:t>
      </w:r>
    </w:p>
    <w:p w:rsidR="009E408F" w:rsidRDefault="00AA209A">
      <w:pPr>
        <w:pStyle w:val="Zkladntext1"/>
        <w:shd w:val="clear" w:color="auto" w:fill="auto"/>
        <w:spacing w:after="0"/>
        <w:sectPr w:rsidR="009E408F">
          <w:footerReference w:type="default" r:id="rId6"/>
          <w:pgSz w:w="11900" w:h="16840"/>
          <w:pgMar w:top="877" w:right="1238" w:bottom="1959" w:left="1749" w:header="449" w:footer="3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2.</w:t>
      </w:r>
      <w:r>
        <w:t xml:space="preserve"> Nedílnou součástí tohoto dodatku je příloha č. 1 - kalkulace.</w:t>
      </w:r>
    </w:p>
    <w:p w:rsidR="009E408F" w:rsidRDefault="009E408F">
      <w:pPr>
        <w:spacing w:before="32" w:after="32" w:line="240" w:lineRule="exact"/>
        <w:rPr>
          <w:sz w:val="19"/>
          <w:szCs w:val="19"/>
        </w:rPr>
      </w:pPr>
    </w:p>
    <w:p w:rsidR="009E408F" w:rsidRDefault="009E408F">
      <w:pPr>
        <w:spacing w:line="1" w:lineRule="exact"/>
        <w:sectPr w:rsidR="009E408F">
          <w:type w:val="continuous"/>
          <w:pgSz w:w="11900" w:h="16840"/>
          <w:pgMar w:top="1227" w:right="0" w:bottom="10195" w:left="0" w:header="0" w:footer="3" w:gutter="0"/>
          <w:cols w:space="720"/>
          <w:noEndnote/>
          <w:docGrid w:linePitch="360"/>
        </w:sectPr>
      </w:pPr>
    </w:p>
    <w:p w:rsidR="009E408F" w:rsidRDefault="00AA209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42545</wp:posOffset>
                </wp:positionV>
                <wp:extent cx="76200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408F" w:rsidRDefault="00AA20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9.pt;margin-top:3.3500000000000001pt;width:60.pt;height:14.6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6095365</wp:posOffset>
                </wp:positionH>
                <wp:positionV relativeFrom="paragraph">
                  <wp:posOffset>12700</wp:posOffset>
                </wp:positionV>
                <wp:extent cx="450850" cy="2984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408F" w:rsidRDefault="009E408F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479.95pt;margin-top:1pt;width:35.5pt;height:23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YdgQEAAAIDAAAOAAAAZHJzL2Uyb0RvYy54bWysUlFLwzAQfhf8DyHvrt1w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" filled="f" stroked="f">
                <v:textbox inset="0,0,0,0">
                  <w:txbxContent>
                    <w:p w:rsidR="009E408F" w:rsidRDefault="009E408F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E408F" w:rsidRDefault="00AA209A">
      <w:pPr>
        <w:spacing w:line="1" w:lineRule="exact"/>
        <w:rPr>
          <w:sz w:val="2"/>
          <w:szCs w:val="2"/>
        </w:rPr>
      </w:pPr>
      <w:r>
        <w:br w:type="column"/>
      </w:r>
    </w:p>
    <w:p w:rsidR="009E408F" w:rsidRDefault="009E408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  <w:bookmarkStart w:id="6" w:name="_GoBack"/>
      <w:bookmarkEnd w:id="6"/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</w:pPr>
    </w:p>
    <w:p w:rsidR="001B553F" w:rsidRDefault="001B553F" w:rsidP="001B553F">
      <w:pPr>
        <w:pStyle w:val="Zkladntext20"/>
        <w:shd w:val="clear" w:color="auto" w:fill="auto"/>
        <w:jc w:val="both"/>
        <w:sectPr w:rsidR="001B553F">
          <w:type w:val="continuous"/>
          <w:pgSz w:w="11900" w:h="16840"/>
          <w:pgMar w:top="1227" w:right="7559" w:bottom="10195" w:left="2002" w:header="0" w:footer="3" w:gutter="0"/>
          <w:cols w:num="2" w:space="100"/>
          <w:noEndnote/>
          <w:docGrid w:linePitch="360"/>
        </w:sectPr>
      </w:pPr>
    </w:p>
    <w:p w:rsidR="009E408F" w:rsidRDefault="00AA209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12700</wp:posOffset>
                </wp:positionV>
                <wp:extent cx="618490" cy="1860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408F" w:rsidRDefault="00AA209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2.19999999999999pt;margin-top:1.pt;width:48.700000000000003pt;height:14.6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408F" w:rsidRDefault="00AA209A">
      <w:pPr>
        <w:pStyle w:val="Zkladntext1"/>
        <w:shd w:val="clear" w:color="auto" w:fill="auto"/>
        <w:spacing w:after="0"/>
        <w:ind w:firstLine="720"/>
      </w:pPr>
      <w:r>
        <w:t>Objednatel</w:t>
      </w:r>
    </w:p>
    <w:sectPr w:rsidR="009E408F">
      <w:type w:val="continuous"/>
      <w:pgSz w:w="11900" w:h="16840"/>
      <w:pgMar w:top="1227" w:right="4469" w:bottom="1227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9A" w:rsidRDefault="00AA209A">
      <w:r>
        <w:separator/>
      </w:r>
    </w:p>
  </w:endnote>
  <w:endnote w:type="continuationSeparator" w:id="0">
    <w:p w:rsidR="00AA209A" w:rsidRDefault="00AA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8F" w:rsidRDefault="00AA20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10026650</wp:posOffset>
              </wp:positionV>
              <wp:extent cx="6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408F" w:rsidRDefault="00AA209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5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07.5pt;margin-top:789.5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" filled="f" stroked="f">
              <v:textbox style="mso-fit-shape-to-text:t" inset="0,0,0,0">
                <w:txbxContent>
                  <w:p w:rsidR="009E408F" w:rsidRDefault="00AA209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5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9A" w:rsidRDefault="00AA209A"/>
  </w:footnote>
  <w:footnote w:type="continuationSeparator" w:id="0">
    <w:p w:rsidR="00AA209A" w:rsidRDefault="00AA20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8F"/>
    <w:rsid w:val="001B553F"/>
    <w:rsid w:val="009E408F"/>
    <w:rsid w:val="00A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7F73"/>
  <w15:docId w15:val="{12909633-5DEE-4982-A787-79B0AB9D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uzivatel</dc:creator>
  <cp:keywords/>
  <cp:lastModifiedBy>Zdenka Šímová</cp:lastModifiedBy>
  <cp:revision>2</cp:revision>
  <dcterms:created xsi:type="dcterms:W3CDTF">2019-10-22T09:25:00Z</dcterms:created>
  <dcterms:modified xsi:type="dcterms:W3CDTF">2019-10-22T09:28:00Z</dcterms:modified>
</cp:coreProperties>
</file>