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SPD-19/139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>Česká filharmonie</w:t>
      </w:r>
      <w:bookmarkStart w:name="_GoBack" w:id="0"/>
      <w:bookmarkEnd w:id="0"/>
      <w:r w:rsidRPr="007B6B27">
        <w:rPr>
          <w:b/>
        </w:rPr>
        <w:t>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Struny podzimu s.r.o.</w:t>
      </w:r>
      <w:r w:rsidRPr="007B6B27" w:rsidR="007B6B27">
        <w:rPr>
          <w:b/>
        </w:rPr>
        <w:t xml:space="preserve">, </w:t>
      </w:r>
      <w:r>
        <w:rPr>
          <w:b/>
        </w:rPr>
        <w:t>Palackého 1/740, 11000 Praha 1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24246671            </w:t>
      </w:r>
      <w:r w:rsidRPr="007B6B27">
        <w:t xml:space="preserve"> DIČ: </w:t>
      </w:r>
      <w:r w:rsidR="00FF4087">
        <w:t>CZ24246671          </w:t>
      </w:r>
      <w:r w:rsidRPr="007B6B27">
        <w:t xml:space="preserve"> Banka: </w:t>
      </w:r>
      <w:r w:rsidR="00FF4087">
        <w:t>2835284389/0800</w:t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Marek Vrabec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SPD-19/139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předladění Steinway 3 ve skladu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Místnost č. 1068 (sklad klavírů)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zázemí catering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Respirium pravé balkon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3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III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Respirium levé balkon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akce před koncertem a po koncertě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Západní salónek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3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Steinway III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Západní salónek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MHF Struny podzimu - Charles Lloyd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44368F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149 000,00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11</cp:revision>
  <dcterms:created xsi:type="dcterms:W3CDTF">2016-11-06T20:35:00Z</dcterms:created>
  <dcterms:modified xsi:type="dcterms:W3CDTF">2019-08-15T11:12:00Z</dcterms:modified>
</cp:coreProperties>
</file>