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789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13520A75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4D67D690" w14:textId="6AFCEDEB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EC578D">
        <w:rPr>
          <w:rFonts w:ascii="Arial" w:hAnsi="Arial" w:cs="Arial"/>
        </w:rPr>
        <w:t xml:space="preserve"> 4000222450</w:t>
      </w:r>
    </w:p>
    <w:p w14:paraId="239F24A9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2B4E32C6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71FEA56D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511D3C16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996EAA3" w14:textId="77777777" w:rsidR="005B6692" w:rsidRDefault="005B6692" w:rsidP="005B6692"/>
    <w:p w14:paraId="5DB45677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14:paraId="6A65F89B" w14:textId="613F521B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GasNet</w:t>
      </w:r>
      <w:proofErr w:type="spellEnd"/>
      <w:r w:rsidRPr="0025283D">
        <w:rPr>
          <w:rFonts w:ascii="Arial" w:hAnsi="Arial" w:cs="Arial"/>
          <w:b/>
          <w:sz w:val="20"/>
          <w:szCs w:val="20"/>
        </w:rPr>
        <w:t>, s.r.o.</w:t>
      </w:r>
    </w:p>
    <w:p w14:paraId="1C2E3166" w14:textId="4E1FA4E9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Pr="00F3030C">
        <w:rPr>
          <w:rFonts w:ascii="Arial" w:hAnsi="Arial" w:cs="Arial"/>
          <w:sz w:val="20"/>
          <w:szCs w:val="20"/>
        </w:rPr>
        <w:t>Klíšská 940</w:t>
      </w:r>
      <w:r w:rsidR="00193CAC">
        <w:rPr>
          <w:rFonts w:ascii="Arial" w:hAnsi="Arial" w:cs="Arial"/>
          <w:sz w:val="20"/>
          <w:szCs w:val="20"/>
        </w:rPr>
        <w:t xml:space="preserve">/96, </w:t>
      </w:r>
      <w:proofErr w:type="spellStart"/>
      <w:r w:rsidR="00193CAC">
        <w:rPr>
          <w:rFonts w:ascii="Arial" w:hAnsi="Arial" w:cs="Arial"/>
          <w:sz w:val="20"/>
          <w:szCs w:val="20"/>
        </w:rPr>
        <w:t>Klíše</w:t>
      </w:r>
      <w:proofErr w:type="spellEnd"/>
      <w:r w:rsidRPr="00F3030C">
        <w:rPr>
          <w:rFonts w:ascii="Arial" w:hAnsi="Arial" w:cs="Arial"/>
          <w:sz w:val="20"/>
          <w:szCs w:val="20"/>
        </w:rPr>
        <w:t xml:space="preserve">, </w:t>
      </w:r>
      <w:r w:rsidR="00193CAC">
        <w:rPr>
          <w:rFonts w:ascii="Arial" w:hAnsi="Arial" w:cs="Arial"/>
          <w:sz w:val="20"/>
          <w:szCs w:val="20"/>
        </w:rPr>
        <w:t>400 01</w:t>
      </w:r>
      <w:r w:rsidRPr="00F3030C">
        <w:rPr>
          <w:rFonts w:ascii="Arial" w:hAnsi="Arial" w:cs="Arial"/>
          <w:sz w:val="20"/>
          <w:szCs w:val="20"/>
        </w:rPr>
        <w:t xml:space="preserve"> Ús</w:t>
      </w:r>
      <w:r>
        <w:rPr>
          <w:rFonts w:ascii="Arial" w:hAnsi="Arial" w:cs="Arial"/>
          <w:sz w:val="20"/>
          <w:szCs w:val="20"/>
        </w:rPr>
        <w:t>tí nad Labem</w:t>
      </w:r>
    </w:p>
    <w:p w14:paraId="3329C928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14:paraId="6516D8B9" w14:textId="48DAF265" w:rsidR="007609E9" w:rsidRPr="0025283D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.      </w:t>
      </w:r>
      <w:r w:rsidRPr="0025283D">
        <w:rPr>
          <w:rFonts w:ascii="Arial" w:hAnsi="Arial" w:cs="Arial"/>
          <w:sz w:val="20"/>
          <w:szCs w:val="20"/>
        </w:rPr>
        <w:t>Číslo účtu:</w:t>
      </w:r>
      <w:r w:rsidRPr="00F3030C">
        <w:t xml:space="preserve"> </w:t>
      </w:r>
      <w:proofErr w:type="spellStart"/>
      <w:r w:rsidR="003772CB">
        <w:t>xxx</w:t>
      </w:r>
      <w:proofErr w:type="spellEnd"/>
    </w:p>
    <w:p w14:paraId="38851F34" w14:textId="6860E1FE" w:rsidR="007609E9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14:paraId="0E29DEBE" w14:textId="7752DF29" w:rsidR="00335C6E" w:rsidRPr="0025283D" w:rsidRDefault="00335C6E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660ADA3E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14:paraId="496359E2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</w:p>
    <w:p w14:paraId="0231B482" w14:textId="77777777" w:rsidR="0075127F" w:rsidRDefault="0075127F" w:rsidP="007609E9">
      <w:pPr>
        <w:rPr>
          <w:rFonts w:ascii="Arial" w:hAnsi="Arial" w:cs="Arial"/>
          <w:b/>
          <w:sz w:val="20"/>
          <w:szCs w:val="20"/>
        </w:rPr>
      </w:pPr>
      <w:proofErr w:type="spellStart"/>
      <w:r w:rsidRPr="0075127F">
        <w:rPr>
          <w:rFonts w:ascii="Arial" w:hAnsi="Arial" w:cs="Arial"/>
          <w:b/>
          <w:sz w:val="20"/>
          <w:szCs w:val="20"/>
        </w:rPr>
        <w:t>GridServices</w:t>
      </w:r>
      <w:proofErr w:type="spellEnd"/>
      <w:r w:rsidRPr="0075127F">
        <w:rPr>
          <w:rFonts w:ascii="Arial" w:hAnsi="Arial" w:cs="Arial"/>
          <w:b/>
          <w:sz w:val="20"/>
          <w:szCs w:val="20"/>
        </w:rPr>
        <w:t>, s.r.o.</w:t>
      </w:r>
    </w:p>
    <w:p w14:paraId="4AE675C1" w14:textId="3243B484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FE59B4">
        <w:rPr>
          <w:rFonts w:ascii="Arial" w:hAnsi="Arial" w:cs="Arial"/>
          <w:sz w:val="20"/>
          <w:szCs w:val="20"/>
        </w:rPr>
        <w:t>Plynárenská 499/1, Zábrdovice, 602 00 Brno</w:t>
      </w:r>
    </w:p>
    <w:p w14:paraId="06404CF3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14:paraId="6BD4C5F7" w14:textId="7DFB7DC4" w:rsidR="007609E9" w:rsidRPr="00214AFF" w:rsidRDefault="007609E9" w:rsidP="007609E9">
      <w:pPr>
        <w:pStyle w:val="Zhlav"/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Zastoupena: </w:t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</w:p>
    <w:p w14:paraId="5CBB7DB4" w14:textId="56E851E6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</w:p>
    <w:p w14:paraId="1FD24EAA" w14:textId="588EE0A5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14AFF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220954A" w14:textId="321F2800" w:rsidR="007609E9" w:rsidRPr="00FE27EE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</w:p>
    <w:p w14:paraId="1F9BF97D" w14:textId="67CAB9EB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14:paraId="06FEBFF8" w14:textId="3C184073" w:rsidR="00335C6E" w:rsidRPr="0025283D" w:rsidRDefault="00335C6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3DBEF33F" w14:textId="77777777"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618692A0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2B3DCB2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14:paraId="4926409A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5B8926AB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14:paraId="377FFF4A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A001D8">
        <w:rPr>
          <w:rFonts w:ascii="Arial" w:hAnsi="Arial" w:cs="Arial"/>
          <w:b/>
          <w:bCs/>
          <w:sz w:val="20"/>
        </w:rPr>
        <w:t>Správa železniční dopravní cesty, státní organizace</w:t>
      </w:r>
    </w:p>
    <w:p w14:paraId="44718DF4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se sídlem Praha 1, Nové Město, Dlážděná 1003/7, PSČ 110 00</w:t>
      </w:r>
    </w:p>
    <w:p w14:paraId="535F9BD6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IČO: 70994234</w:t>
      </w:r>
    </w:p>
    <w:p w14:paraId="15EA448D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DIČ: CZ70994234</w:t>
      </w:r>
    </w:p>
    <w:p w14:paraId="57548699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zapsaná v OR vedeném Městským soudem v Praze, oddíl A, vložka 48384</w:t>
      </w:r>
    </w:p>
    <w:p w14:paraId="60BC9052" w14:textId="0885585F" w:rsidR="0036413C" w:rsidRPr="00A001D8" w:rsidRDefault="0036413C" w:rsidP="0036413C">
      <w:pPr>
        <w:tabs>
          <w:tab w:val="left" w:pos="1276"/>
        </w:tabs>
        <w:jc w:val="both"/>
        <w:rPr>
          <w:rFonts w:ascii="Arial" w:hAnsi="Arial" w:cs="Arial"/>
          <w:bCs/>
          <w:color w:val="FF0000"/>
          <w:sz w:val="20"/>
        </w:rPr>
      </w:pPr>
      <w:r w:rsidRPr="00A001D8">
        <w:rPr>
          <w:rFonts w:ascii="Arial" w:hAnsi="Arial" w:cs="Arial"/>
          <w:bCs/>
          <w:sz w:val="20"/>
        </w:rPr>
        <w:t>zastoupená</w:t>
      </w:r>
      <w:r w:rsidRPr="00A001D8">
        <w:rPr>
          <w:rFonts w:ascii="Arial" w:hAnsi="Arial" w:cs="Arial"/>
          <w:bCs/>
          <w:sz w:val="20"/>
        </w:rPr>
        <w:tab/>
      </w:r>
      <w:proofErr w:type="spellStart"/>
      <w:r w:rsidR="003772CB">
        <w:rPr>
          <w:rFonts w:ascii="Arial" w:hAnsi="Arial" w:cs="Arial"/>
          <w:bCs/>
          <w:sz w:val="20"/>
        </w:rPr>
        <w:t>xxx</w:t>
      </w:r>
      <w:proofErr w:type="spellEnd"/>
      <w:r w:rsidRPr="00A001D8">
        <w:rPr>
          <w:rFonts w:ascii="Arial" w:hAnsi="Arial" w:cs="Arial"/>
          <w:bCs/>
          <w:sz w:val="20"/>
        </w:rPr>
        <w:t xml:space="preserve"> </w:t>
      </w:r>
    </w:p>
    <w:p w14:paraId="3CF9737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48CFF96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 w:rsidRPr="00A001D8">
        <w:rPr>
          <w:rFonts w:ascii="Arial" w:hAnsi="Arial" w:cs="Arial"/>
          <w:b/>
          <w:sz w:val="20"/>
        </w:rPr>
        <w:t>Adresa pro doručování:</w:t>
      </w:r>
    </w:p>
    <w:p w14:paraId="6DA05F80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001D8">
        <w:rPr>
          <w:rFonts w:ascii="Arial" w:hAnsi="Arial" w:cs="Arial"/>
          <w:sz w:val="20"/>
        </w:rPr>
        <w:t>Správa železniční dopravní cesty, státní organizace</w:t>
      </w:r>
    </w:p>
    <w:p w14:paraId="57273A01" w14:textId="44A45C27" w:rsidR="00335C6E" w:rsidRPr="0025283D" w:rsidRDefault="0036413C" w:rsidP="00A434EE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  <w:r w:rsidRPr="00A001D8">
        <w:rPr>
          <w:rFonts w:ascii="Arial" w:hAnsi="Arial" w:cs="Arial"/>
          <w:sz w:val="20"/>
        </w:rPr>
        <w:t>Stavební správa západ, Sokolovská 1955/278, Praha 9, PSČ 190 00</w:t>
      </w:r>
    </w:p>
    <w:p w14:paraId="715C1036" w14:textId="31BC7CBE"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</w:t>
      </w:r>
      <w:r w:rsidR="009A68A7" w:rsidRPr="00E2740A">
        <w:rPr>
          <w:rFonts w:ascii="Arial" w:hAnsi="Arial" w:cs="Arial"/>
          <w:b/>
          <w:bCs/>
          <w:sz w:val="20"/>
          <w:szCs w:val="20"/>
        </w:rPr>
        <w:t>stavebník“)</w:t>
      </w:r>
    </w:p>
    <w:p w14:paraId="73E6D5A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9A09454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067612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39074B78" w14:textId="77777777" w:rsidR="003D6038" w:rsidRPr="0025283D" w:rsidRDefault="003D6038" w:rsidP="00E857CE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67E711CF" w14:textId="69FAB23C" w:rsidR="00820B6E" w:rsidRPr="00640F12" w:rsidRDefault="00311D11" w:rsidP="002A5794">
      <w:pPr>
        <w:numPr>
          <w:ilvl w:val="0"/>
          <w:numId w:val="1"/>
        </w:numPr>
        <w:tabs>
          <w:tab w:val="clear" w:pos="360"/>
          <w:tab w:val="num" w:pos="426"/>
          <w:tab w:val="left" w:pos="5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D501BD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D501BD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 xml:space="preserve"> (dále jen „</w:t>
      </w:r>
      <w:r w:rsidR="00D501BD">
        <w:rPr>
          <w:rFonts w:ascii="Arial" w:hAnsi="Arial" w:cs="Arial"/>
          <w:sz w:val="22"/>
          <w:szCs w:val="22"/>
        </w:rPr>
        <w:t>PZ“)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či jeho části </w:t>
      </w:r>
      <w:r w:rsidR="00EC578D">
        <w:rPr>
          <w:rFonts w:ascii="Arial" w:hAnsi="Arial" w:cs="Arial"/>
          <w:sz w:val="22"/>
          <w:szCs w:val="22"/>
        </w:rPr>
        <w:t>– STL plynovod PE d 110, cca 31 m, GIS ID 283310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524C6B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 xml:space="preserve">v obci </w:t>
      </w:r>
      <w:r w:rsidR="00251F21">
        <w:rPr>
          <w:rFonts w:ascii="Arial" w:hAnsi="Arial" w:cs="Arial"/>
          <w:sz w:val="22"/>
          <w:szCs w:val="22"/>
        </w:rPr>
        <w:t>Karlštejn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D5252" w:rsidRPr="00640F12">
        <w:rPr>
          <w:rFonts w:ascii="Arial" w:hAnsi="Arial" w:cs="Arial"/>
          <w:sz w:val="22"/>
          <w:szCs w:val="22"/>
        </w:rPr>
        <w:t>k.ú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>.</w:t>
      </w:r>
      <w:proofErr w:type="gramEnd"/>
      <w:r w:rsidR="00BD5252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F21">
        <w:rPr>
          <w:rFonts w:ascii="Arial" w:hAnsi="Arial" w:cs="Arial"/>
          <w:sz w:val="22"/>
          <w:szCs w:val="22"/>
        </w:rPr>
        <w:t>Poučník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8E6CD4">
        <w:rPr>
          <w:rFonts w:ascii="Arial" w:hAnsi="Arial" w:cs="Arial"/>
          <w:sz w:val="22"/>
          <w:szCs w:val="22"/>
        </w:rPr>
        <w:t>je</w:t>
      </w:r>
      <w:r w:rsidR="008E6CD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6C1530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6C1530">
        <w:rPr>
          <w:rFonts w:ascii="Arial" w:hAnsi="Arial" w:cs="Arial"/>
          <w:sz w:val="22"/>
          <w:szCs w:val="22"/>
        </w:rPr>
        <w:t xml:space="preserve"> a nabytí vlastnictví k</w:t>
      </w:r>
      <w:r w:rsidR="003004EA">
        <w:rPr>
          <w:rFonts w:ascii="Arial" w:hAnsi="Arial" w:cs="Arial"/>
          <w:sz w:val="22"/>
          <w:szCs w:val="22"/>
        </w:rPr>
        <w:t>e</w:t>
      </w:r>
      <w:r w:rsidR="006C1530">
        <w:rPr>
          <w:rFonts w:ascii="Arial" w:hAnsi="Arial" w:cs="Arial"/>
          <w:sz w:val="22"/>
          <w:szCs w:val="22"/>
        </w:rPr>
        <w:t xml:space="preserve"> zrušené části </w:t>
      </w:r>
      <w:r w:rsidR="00B66683">
        <w:rPr>
          <w:rFonts w:ascii="Arial" w:hAnsi="Arial" w:cs="Arial"/>
          <w:sz w:val="22"/>
          <w:szCs w:val="22"/>
        </w:rPr>
        <w:t xml:space="preserve">plynárenského </w:t>
      </w:r>
      <w:r w:rsidR="006778D2">
        <w:rPr>
          <w:rFonts w:ascii="Arial" w:hAnsi="Arial" w:cs="Arial"/>
          <w:sz w:val="22"/>
          <w:szCs w:val="22"/>
        </w:rPr>
        <w:t xml:space="preserve">zařízení </w:t>
      </w:r>
      <w:r w:rsidR="006C1530">
        <w:rPr>
          <w:rFonts w:ascii="Arial" w:hAnsi="Arial" w:cs="Arial"/>
          <w:sz w:val="22"/>
          <w:szCs w:val="22"/>
        </w:rPr>
        <w:t>stavebníkem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 xml:space="preserve">Potřeba přeložky PZ je vyvolána realizací </w:t>
      </w:r>
      <w:r w:rsidR="00E60DAB">
        <w:rPr>
          <w:rFonts w:ascii="Arial" w:hAnsi="Arial" w:cs="Arial"/>
          <w:sz w:val="22"/>
          <w:szCs w:val="22"/>
        </w:rPr>
        <w:t xml:space="preserve">veřejně prospěšné </w:t>
      </w:r>
      <w:r w:rsidR="00AC54C0" w:rsidRPr="00640F12">
        <w:rPr>
          <w:rFonts w:ascii="Arial" w:hAnsi="Arial" w:cs="Arial"/>
          <w:sz w:val="22"/>
          <w:szCs w:val="22"/>
        </w:rPr>
        <w:t>stavby</w:t>
      </w:r>
      <w:r w:rsidR="005B6692" w:rsidRPr="00640F12">
        <w:rPr>
          <w:rFonts w:ascii="Arial" w:hAnsi="Arial" w:cs="Arial"/>
          <w:sz w:val="22"/>
          <w:szCs w:val="22"/>
        </w:rPr>
        <w:t>:</w:t>
      </w:r>
      <w:r w:rsidR="009E3A8D">
        <w:rPr>
          <w:rFonts w:ascii="Arial" w:hAnsi="Arial" w:cs="Arial"/>
          <w:sz w:val="22"/>
          <w:szCs w:val="22"/>
        </w:rPr>
        <w:t xml:space="preserve"> Optimalizace trati </w:t>
      </w:r>
      <w:proofErr w:type="spellStart"/>
      <w:r w:rsidR="009E3A8D">
        <w:rPr>
          <w:rFonts w:ascii="Arial" w:hAnsi="Arial" w:cs="Arial"/>
          <w:sz w:val="22"/>
          <w:szCs w:val="22"/>
        </w:rPr>
        <w:t>odb</w:t>
      </w:r>
      <w:proofErr w:type="spellEnd"/>
      <w:r w:rsidR="009E3A8D">
        <w:rPr>
          <w:rFonts w:ascii="Arial" w:hAnsi="Arial" w:cs="Arial"/>
          <w:sz w:val="22"/>
          <w:szCs w:val="22"/>
        </w:rPr>
        <w:t>. Berounka (včetně)- Karlštejn (včetně)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26A31C86" w14:textId="51949A5D" w:rsidR="00C9524F" w:rsidRPr="00640F12" w:rsidRDefault="00C9524F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Rozsah přeložky</w:t>
      </w:r>
      <w:r w:rsidR="008E6CD4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r w:rsidR="009E3A8D">
        <w:rPr>
          <w:rFonts w:ascii="Arial" w:hAnsi="Arial" w:cs="Arial"/>
          <w:sz w:val="22"/>
          <w:szCs w:val="22"/>
        </w:rPr>
        <w:t xml:space="preserve"> 7.3. </w:t>
      </w:r>
      <w:proofErr w:type="gramStart"/>
      <w:r w:rsidR="009E3A8D">
        <w:rPr>
          <w:rFonts w:ascii="Arial" w:hAnsi="Arial" w:cs="Arial"/>
          <w:sz w:val="22"/>
          <w:szCs w:val="22"/>
        </w:rPr>
        <w:t xml:space="preserve">2019, </w:t>
      </w:r>
      <w:r w:rsidR="00DE187E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>č.</w:t>
      </w:r>
      <w:proofErr w:type="gramEnd"/>
      <w:r w:rsidR="00033BAA" w:rsidRPr="00640F12">
        <w:rPr>
          <w:rFonts w:ascii="Arial" w:hAnsi="Arial" w:cs="Arial"/>
          <w:sz w:val="22"/>
          <w:szCs w:val="22"/>
        </w:rPr>
        <w:t xml:space="preserve">: </w:t>
      </w:r>
      <w:r w:rsidR="00DE187E" w:rsidRPr="00640F12">
        <w:rPr>
          <w:rFonts w:ascii="Arial" w:hAnsi="Arial" w:cs="Arial"/>
          <w:sz w:val="22"/>
          <w:szCs w:val="22"/>
        </w:rPr>
        <w:t>500</w:t>
      </w:r>
      <w:r w:rsidR="009E3A8D">
        <w:rPr>
          <w:rFonts w:ascii="Arial" w:hAnsi="Arial" w:cs="Arial"/>
          <w:sz w:val="22"/>
          <w:szCs w:val="22"/>
        </w:rPr>
        <w:t>1</w:t>
      </w:r>
      <w:r w:rsidR="00EC578D">
        <w:rPr>
          <w:rFonts w:ascii="Arial" w:hAnsi="Arial" w:cs="Arial"/>
          <w:sz w:val="22"/>
          <w:szCs w:val="22"/>
        </w:rPr>
        <w:t>886184</w:t>
      </w:r>
      <w:r w:rsidR="009A68A7">
        <w:rPr>
          <w:rFonts w:ascii="Arial" w:hAnsi="Arial" w:cs="Arial"/>
          <w:sz w:val="22"/>
          <w:szCs w:val="22"/>
        </w:rPr>
        <w:t>.</w:t>
      </w:r>
    </w:p>
    <w:p w14:paraId="5A8A10DA" w14:textId="77777777" w:rsidR="003D6038" w:rsidRPr="00640F12" w:rsidRDefault="00FA79C7" w:rsidP="002A5794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7DB562AB" w14:textId="52B44E18" w:rsidR="003D6038" w:rsidRPr="00640F12" w:rsidRDefault="003D6038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>, že stavebník svým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="009A68A7">
        <w:rPr>
          <w:rFonts w:ascii="Arial" w:hAnsi="Arial" w:cs="Arial"/>
          <w:sz w:val="22"/>
          <w:szCs w:val="22"/>
        </w:rPr>
        <w:t xml:space="preserve"> s </w:t>
      </w:r>
      <w:r w:rsidRPr="00640F12">
        <w:rPr>
          <w:rFonts w:ascii="Arial" w:hAnsi="Arial" w:cs="Arial"/>
          <w:sz w:val="22"/>
          <w:szCs w:val="22"/>
        </w:rPr>
        <w:t xml:space="preserve">provedením přeložky PZ v rozsahu sjednaném v této smlouvě a </w:t>
      </w:r>
      <w:r w:rsidR="00D501BD">
        <w:rPr>
          <w:rFonts w:ascii="Arial" w:hAnsi="Arial" w:cs="Arial"/>
          <w:sz w:val="22"/>
          <w:szCs w:val="22"/>
        </w:rPr>
        <w:t>které budou vyplývat z projektové dokumentace (</w:t>
      </w:r>
      <w:r w:rsidR="00A60517">
        <w:rPr>
          <w:rFonts w:ascii="Arial" w:hAnsi="Arial" w:cs="Arial"/>
          <w:sz w:val="22"/>
          <w:szCs w:val="22"/>
        </w:rPr>
        <w:t>„</w:t>
      </w:r>
      <w:r w:rsidR="00D501BD">
        <w:rPr>
          <w:rFonts w:ascii="Arial" w:hAnsi="Arial" w:cs="Arial"/>
          <w:sz w:val="22"/>
          <w:szCs w:val="22"/>
        </w:rPr>
        <w:t>PD“).</w:t>
      </w:r>
    </w:p>
    <w:p w14:paraId="32973468" w14:textId="1FB34D2F" w:rsidR="00C9524F" w:rsidRDefault="002A5794" w:rsidP="002A5794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C9524F"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="00C9524F" w:rsidRPr="00640F12">
        <w:rPr>
          <w:sz w:val="22"/>
          <w:szCs w:val="22"/>
        </w:rPr>
        <w:t>, zejména z hledis</w:t>
      </w:r>
      <w:r w:rsidR="009A68A7">
        <w:rPr>
          <w:sz w:val="22"/>
          <w:szCs w:val="22"/>
        </w:rPr>
        <w:t>ka bezpečnosti, spolehlivosti a </w:t>
      </w:r>
      <w:r w:rsidR="00C9524F"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6DC23E0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FD2F1A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6A8E775A" w14:textId="77777777" w:rsidR="003D6038" w:rsidRPr="0025283D" w:rsidRDefault="003D6038" w:rsidP="00E857CE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76859B0C" w14:textId="5F877E27" w:rsidR="003D6038" w:rsidRPr="00640F12" w:rsidRDefault="003D6038" w:rsidP="0036413C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Přeložku </w:t>
      </w:r>
      <w:r w:rsidR="00D501BD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9E3A8D">
        <w:rPr>
          <w:rFonts w:ascii="Arial" w:hAnsi="Arial" w:cs="Arial"/>
          <w:sz w:val="22"/>
          <w:szCs w:val="22"/>
        </w:rPr>
        <w:t xml:space="preserve">    03/2022 až 11/2025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přeložky.</w:t>
      </w:r>
      <w:r w:rsidR="00651805" w:rsidRPr="00640F12">
        <w:rPr>
          <w:rFonts w:ascii="Arial" w:hAnsi="Arial" w:cs="Arial"/>
          <w:sz w:val="22"/>
          <w:szCs w:val="22"/>
        </w:rPr>
        <w:t xml:space="preserve"> </w:t>
      </w:r>
    </w:p>
    <w:p w14:paraId="7E9A160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784B7EA0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0345C4FA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6A2603F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3E5317EC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14C98AB5" w14:textId="662D8791" w:rsidR="007D7EAC" w:rsidRPr="00DF786E" w:rsidRDefault="00C9524F" w:rsidP="002A579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D501B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D501B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A60517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</w:t>
      </w:r>
      <w:r w:rsidR="007D7EAC" w:rsidRPr="007D7EAC">
        <w:rPr>
          <w:rFonts w:ascii="Arial" w:hAnsi="Arial" w:cs="Arial"/>
          <w:sz w:val="22"/>
          <w:szCs w:val="22"/>
        </w:rPr>
        <w:t>jehož výsledkem bude vystavení příslušného dokladu dle stavebního zákona opravňuj</w:t>
      </w:r>
      <w:r w:rsidR="009A68A7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</w:p>
    <w:p w14:paraId="12DB10A8" w14:textId="3F364DDC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E857CE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E857CE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2553F7">
        <w:rPr>
          <w:rFonts w:ascii="Arial" w:hAnsi="Arial" w:cs="Arial"/>
          <w:sz w:val="22"/>
          <w:szCs w:val="22"/>
        </w:rPr>
        <w:t xml:space="preserve"> Pouze taková </w:t>
      </w:r>
      <w:r w:rsidR="009954C6">
        <w:rPr>
          <w:rFonts w:ascii="Arial" w:hAnsi="Arial" w:cs="Arial"/>
          <w:sz w:val="22"/>
          <w:szCs w:val="22"/>
        </w:rPr>
        <w:t xml:space="preserve">PD je způsobilým technickým podkladem pro jednání se stavebním úřadem. </w:t>
      </w:r>
    </w:p>
    <w:p w14:paraId="791ABAC5" w14:textId="77777777" w:rsidR="00B465D0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zadat realizaci stavby přeložky PZ pouze zhotoviteli, který je pro činnosti na plynárenských zařízeních certifikován v souladu s TPG 923 01, dodrží podmínky této smlouvy a stavbu přeložky PZ zrealizuje dle schválené PD.</w:t>
      </w:r>
    </w:p>
    <w:p w14:paraId="117C0B2F" w14:textId="77777777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966BE6" w:rsidRPr="00640F12">
        <w:rPr>
          <w:rFonts w:ascii="Arial" w:hAnsi="Arial" w:cs="Arial"/>
          <w:sz w:val="22"/>
          <w:szCs w:val="22"/>
        </w:rPr>
        <w:t>avazuje</w:t>
      </w:r>
      <w:r w:rsidRPr="00640F12">
        <w:rPr>
          <w:rFonts w:ascii="Arial" w:hAnsi="Arial" w:cs="Arial"/>
          <w:sz w:val="22"/>
          <w:szCs w:val="22"/>
        </w:rPr>
        <w:t xml:space="preserve"> se</w:t>
      </w:r>
      <w:r w:rsidR="00966BE6" w:rsidRPr="00640F12">
        <w:rPr>
          <w:rFonts w:ascii="Arial" w:hAnsi="Arial" w:cs="Arial"/>
          <w:sz w:val="22"/>
          <w:szCs w:val="22"/>
        </w:rPr>
        <w:t>, že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966BE6" w:rsidRPr="00640F12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</w:t>
      </w:r>
      <w:r w:rsidR="00E857CE">
        <w:rPr>
          <w:rFonts w:ascii="Arial" w:hAnsi="Arial" w:cs="Arial"/>
          <w:sz w:val="22"/>
          <w:szCs w:val="22"/>
        </w:rPr>
        <w:t xml:space="preserve"> PZ</w:t>
      </w:r>
      <w:r w:rsidR="00966BE6" w:rsidRPr="00640F12">
        <w:rPr>
          <w:rFonts w:ascii="Arial" w:hAnsi="Arial" w:cs="Arial"/>
          <w:sz w:val="22"/>
          <w:szCs w:val="22"/>
        </w:rPr>
        <w:t xml:space="preserve"> v této smlouvě.</w:t>
      </w:r>
    </w:p>
    <w:p w14:paraId="5EC5C80A" w14:textId="2B81F50E" w:rsidR="000A4557" w:rsidRPr="00640F12" w:rsidRDefault="00BB3E5A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Zaváže</w:t>
      </w:r>
      <w:r w:rsidR="002F5FC3" w:rsidRPr="00640F12">
        <w:rPr>
          <w:rFonts w:ascii="Arial" w:hAnsi="Arial" w:cs="Arial"/>
          <w:sz w:val="22"/>
          <w:szCs w:val="22"/>
        </w:rPr>
        <w:t xml:space="preserve">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2F5FC3" w:rsidRPr="00640F12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640F12">
        <w:rPr>
          <w:rFonts w:ascii="Arial" w:hAnsi="Arial" w:cs="Arial"/>
          <w:sz w:val="22"/>
          <w:szCs w:val="22"/>
        </w:rPr>
        <w:t>ho</w:t>
      </w:r>
      <w:r w:rsidR="002F5FC3" w:rsidRPr="00640F12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na </w:t>
      </w:r>
      <w:r w:rsidR="00F0537E" w:rsidRPr="00640F12">
        <w:rPr>
          <w:rFonts w:ascii="Arial" w:hAnsi="Arial" w:cs="Arial"/>
          <w:sz w:val="22"/>
          <w:szCs w:val="22"/>
        </w:rPr>
        <w:t>adrese</w:t>
      </w:r>
      <w:r w:rsidR="000A4557" w:rsidRPr="00640F12">
        <w:rPr>
          <w:rFonts w:ascii="Arial" w:hAnsi="Arial" w:cs="Arial"/>
          <w:sz w:val="22"/>
          <w:szCs w:val="22"/>
        </w:rPr>
        <w:t>:</w:t>
      </w:r>
    </w:p>
    <w:p w14:paraId="649809C9" w14:textId="34911ACB" w:rsidR="00033BAA" w:rsidRPr="00640F12" w:rsidRDefault="0097589A" w:rsidP="002A5794">
      <w:pPr>
        <w:ind w:left="708"/>
        <w:jc w:val="both"/>
        <w:rPr>
          <w:rFonts w:ascii="Arial" w:hAnsi="Arial" w:cs="Arial"/>
          <w:sz w:val="22"/>
          <w:szCs w:val="22"/>
        </w:rPr>
      </w:pPr>
      <w:hyperlink r:id="rId8" w:history="1">
        <w:r w:rsidR="0075127F" w:rsidRPr="009A68A7">
          <w:rPr>
            <w:rFonts w:ascii="Arial" w:hAnsi="Arial" w:cs="Arial"/>
            <w:sz w:val="22"/>
            <w:szCs w:val="22"/>
          </w:rPr>
          <w:t>https://www.gasnet.cz/cs/evis/prihlaseni/index/</w:t>
        </w:r>
      </w:hyperlink>
      <w:r w:rsidR="00D501BD">
        <w:rPr>
          <w:rFonts w:ascii="Arial" w:hAnsi="Arial" w:cs="Arial"/>
          <w:sz w:val="22"/>
          <w:szCs w:val="22"/>
        </w:rPr>
        <w:t xml:space="preserve"> z důvodu </w:t>
      </w:r>
      <w:r w:rsidR="002627D9" w:rsidRPr="00640F12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640F12">
        <w:rPr>
          <w:rFonts w:ascii="Arial" w:hAnsi="Arial" w:cs="Arial"/>
          <w:sz w:val="22"/>
          <w:szCs w:val="22"/>
        </w:rPr>
        <w:t>přeložky PZ</w:t>
      </w:r>
      <w:r w:rsidR="00FA79C7" w:rsidRPr="00640F12">
        <w:rPr>
          <w:rFonts w:ascii="Arial" w:hAnsi="Arial" w:cs="Arial"/>
          <w:sz w:val="22"/>
          <w:szCs w:val="22"/>
        </w:rPr>
        <w:t>.</w:t>
      </w:r>
      <w:r w:rsidR="001D4F09" w:rsidRPr="00640F12">
        <w:rPr>
          <w:rFonts w:ascii="Arial" w:hAnsi="Arial" w:cs="Arial"/>
          <w:sz w:val="22"/>
          <w:szCs w:val="22"/>
        </w:rPr>
        <w:t xml:space="preserve"> </w:t>
      </w:r>
      <w:r w:rsidR="00BB3E5A" w:rsidRPr="00640F12">
        <w:rPr>
          <w:rFonts w:ascii="Arial" w:hAnsi="Arial" w:cs="Arial"/>
          <w:sz w:val="22"/>
          <w:szCs w:val="22"/>
        </w:rPr>
        <w:t xml:space="preserve">Zaváže </w:t>
      </w:r>
      <w:r w:rsidR="004B4C3A" w:rsidRPr="00640F12">
        <w:rPr>
          <w:rFonts w:ascii="Arial" w:hAnsi="Arial" w:cs="Arial"/>
          <w:sz w:val="22"/>
          <w:szCs w:val="22"/>
        </w:rPr>
        <w:t>z</w:t>
      </w:r>
      <w:r w:rsidR="00BB3E5A" w:rsidRPr="00640F12">
        <w:rPr>
          <w:rFonts w:ascii="Arial" w:hAnsi="Arial" w:cs="Arial"/>
          <w:sz w:val="22"/>
          <w:szCs w:val="22"/>
        </w:rPr>
        <w:t>hotovitele přeložky PZ, aby n</w:t>
      </w:r>
      <w:r w:rsidR="002627D9" w:rsidRPr="00640F12">
        <w:rPr>
          <w:rFonts w:ascii="Arial" w:hAnsi="Arial" w:cs="Arial"/>
          <w:sz w:val="22"/>
          <w:szCs w:val="22"/>
        </w:rPr>
        <w:t xml:space="preserve">ejpozději </w:t>
      </w:r>
      <w:r w:rsidR="00F90FE4" w:rsidRPr="00640F12">
        <w:rPr>
          <w:rFonts w:ascii="Arial" w:hAnsi="Arial" w:cs="Arial"/>
          <w:sz w:val="22"/>
          <w:szCs w:val="22"/>
        </w:rPr>
        <w:t>pět pracovních dnů předem oznám</w:t>
      </w:r>
      <w:r w:rsidR="00BB3E5A" w:rsidRPr="00640F12">
        <w:rPr>
          <w:rFonts w:ascii="Arial" w:hAnsi="Arial" w:cs="Arial"/>
          <w:sz w:val="22"/>
          <w:szCs w:val="22"/>
        </w:rPr>
        <w:t>il</w:t>
      </w:r>
      <w:r w:rsidR="00F90FE4" w:rsidRPr="00640F12">
        <w:rPr>
          <w:rFonts w:ascii="Arial" w:hAnsi="Arial" w:cs="Arial"/>
          <w:sz w:val="22"/>
          <w:szCs w:val="22"/>
        </w:rPr>
        <w:t xml:space="preserve"> vlastníkovi</w:t>
      </w:r>
      <w:r w:rsidR="002627D9"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="002627D9" w:rsidRPr="00640F12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37BC6246" w14:textId="6A8BCBA9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640F12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640F12">
        <w:rPr>
          <w:rFonts w:ascii="Arial" w:hAnsi="Arial" w:cs="Arial"/>
          <w:sz w:val="22"/>
          <w:szCs w:val="22"/>
        </w:rPr>
        <w:t xml:space="preserve">vlastníka PZ </w:t>
      </w:r>
      <w:r w:rsidR="003D6038" w:rsidRPr="00640F12">
        <w:rPr>
          <w:rFonts w:ascii="Arial" w:hAnsi="Arial" w:cs="Arial"/>
          <w:sz w:val="22"/>
          <w:szCs w:val="22"/>
        </w:rPr>
        <w:t>k</w:t>
      </w:r>
      <w:r w:rsidR="00BE0EAE" w:rsidRPr="00640F12">
        <w:rPr>
          <w:rFonts w:ascii="Arial" w:hAnsi="Arial" w:cs="Arial"/>
          <w:sz w:val="22"/>
          <w:szCs w:val="22"/>
        </w:rPr>
        <w:t xml:space="preserve"> PD </w:t>
      </w:r>
      <w:r w:rsidR="003D6038" w:rsidRPr="00640F12">
        <w:rPr>
          <w:rFonts w:ascii="Arial" w:hAnsi="Arial" w:cs="Arial"/>
          <w:sz w:val="22"/>
          <w:szCs w:val="22"/>
        </w:rPr>
        <w:t>přeložky PZ.</w:t>
      </w:r>
      <w:r w:rsidR="00C56311" w:rsidRPr="00640F12">
        <w:rPr>
          <w:rFonts w:ascii="Arial" w:hAnsi="Arial" w:cs="Arial"/>
          <w:color w:val="FF0000"/>
          <w:sz w:val="22"/>
          <w:szCs w:val="22"/>
        </w:rPr>
        <w:t xml:space="preserve"> </w:t>
      </w:r>
      <w:r w:rsidR="00C56311" w:rsidRPr="00640F12">
        <w:rPr>
          <w:rFonts w:ascii="Arial" w:hAnsi="Arial" w:cs="Arial"/>
          <w:sz w:val="22"/>
          <w:szCs w:val="22"/>
        </w:rPr>
        <w:t xml:space="preserve">Tyto podmínky </w:t>
      </w:r>
      <w:r w:rsidR="00D501BD">
        <w:rPr>
          <w:rFonts w:ascii="Arial" w:hAnsi="Arial" w:cs="Arial"/>
          <w:sz w:val="22"/>
          <w:szCs w:val="22"/>
        </w:rPr>
        <w:t xml:space="preserve">nesmí být </w:t>
      </w:r>
      <w:r w:rsidR="00C56311" w:rsidRPr="00640F12">
        <w:rPr>
          <w:rFonts w:ascii="Arial" w:hAnsi="Arial" w:cs="Arial"/>
          <w:sz w:val="22"/>
          <w:szCs w:val="22"/>
        </w:rPr>
        <w:t>v r</w:t>
      </w:r>
      <w:r w:rsidR="009A68A7">
        <w:rPr>
          <w:rFonts w:ascii="Arial" w:hAnsi="Arial" w:cs="Arial"/>
          <w:sz w:val="22"/>
          <w:szCs w:val="22"/>
        </w:rPr>
        <w:t>ozporu s touto smlouvou, ledaže </w:t>
      </w:r>
      <w:r w:rsidR="00C56311" w:rsidRPr="00640F12">
        <w:rPr>
          <w:rFonts w:ascii="Arial" w:hAnsi="Arial" w:cs="Arial"/>
          <w:sz w:val="22"/>
          <w:szCs w:val="22"/>
        </w:rPr>
        <w:t>podmínky budou vycházet ze změn právních předpisů, technických norem, technických pravidel nebo rozhodnutí příslušného orgánu.</w:t>
      </w:r>
    </w:p>
    <w:p w14:paraId="5112F3BE" w14:textId="77777777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</w:t>
      </w:r>
      <w:r w:rsidR="00594F8A" w:rsidRPr="00640F12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5F1D9178" w14:textId="78CFB717" w:rsidR="00707DAF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respektovat připomínky a pokyny vlastníka PZ vznesené při kontrolní činnosti, které nebudou v rozporu s touto smlouvou,</w:t>
      </w:r>
      <w:r w:rsidR="009A68A7">
        <w:rPr>
          <w:rFonts w:ascii="Arial" w:hAnsi="Arial" w:cs="Arial"/>
          <w:sz w:val="22"/>
          <w:szCs w:val="22"/>
        </w:rPr>
        <w:t xml:space="preserve"> a rovněž další podmínky, které </w:t>
      </w:r>
      <w:r w:rsidR="005246D3" w:rsidRPr="00F83D06">
        <w:rPr>
          <w:rFonts w:ascii="Arial" w:hAnsi="Arial" w:cs="Arial"/>
          <w:sz w:val="22"/>
          <w:szCs w:val="22"/>
        </w:rPr>
        <w:t xml:space="preserve">v termínu realizace přeložky vyplynou ze změn právních předpisů, technických </w:t>
      </w:r>
      <w:r w:rsidR="005246D3" w:rsidRPr="00F83D06">
        <w:rPr>
          <w:rFonts w:ascii="Arial" w:hAnsi="Arial" w:cs="Arial"/>
          <w:sz w:val="22"/>
          <w:szCs w:val="22"/>
        </w:rPr>
        <w:lastRenderedPageBreak/>
        <w:t>norem, technických pravidel nebo rozhodnutí příslušného orgánu. Tyto další podmínky musí vlastník PZ zapsat do stavebního deníku přeložky PZ.</w:t>
      </w:r>
    </w:p>
    <w:p w14:paraId="0C629372" w14:textId="1C3F9B0B" w:rsidR="00DF3B2F" w:rsidRPr="00640F12" w:rsidRDefault="0093370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bezodstávkových</w:t>
      </w:r>
      <w:proofErr w:type="spellEnd"/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prostřednictvím zhotovitele přeložky PZ a náhradu ško</w:t>
      </w:r>
      <w:r w:rsidR="009A68A7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propoji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3CBF30A4" w14:textId="2637310C" w:rsidR="00C74F1B" w:rsidRPr="00640F12" w:rsidRDefault="00707DAF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E857CE">
        <w:rPr>
          <w:rFonts w:ascii="Arial" w:hAnsi="Arial" w:cs="Arial"/>
          <w:sz w:val="22"/>
          <w:szCs w:val="22"/>
        </w:rPr>
        <w:t xml:space="preserve">áže zhotovitele </w:t>
      </w:r>
      <w:r w:rsidR="00C9771A">
        <w:rPr>
          <w:rFonts w:ascii="Arial" w:hAnsi="Arial" w:cs="Arial"/>
          <w:sz w:val="22"/>
          <w:szCs w:val="22"/>
        </w:rPr>
        <w:t xml:space="preserve">přeložky </w:t>
      </w:r>
      <w:r w:rsidR="00E857CE">
        <w:rPr>
          <w:rFonts w:ascii="Arial" w:hAnsi="Arial" w:cs="Arial"/>
          <w:sz w:val="22"/>
          <w:szCs w:val="22"/>
        </w:rPr>
        <w:t>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857CE">
        <w:rPr>
          <w:rFonts w:ascii="Arial" w:hAnsi="Arial" w:cs="Arial"/>
          <w:sz w:val="22"/>
          <w:szCs w:val="22"/>
        </w:rPr>
        <w:t>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odpoje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 a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propoje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9A68A7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9A68A7">
        <w:rPr>
          <w:rFonts w:ascii="Arial" w:hAnsi="Arial" w:cs="Arial"/>
          <w:sz w:val="22"/>
          <w:szCs w:val="22"/>
        </w:rPr>
        <w:t>a předložit jej </w:t>
      </w:r>
      <w:r w:rsidR="005C4C3B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9A68A7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 xml:space="preserve">59 odst. 5 zákona </w:t>
      </w:r>
      <w:r w:rsidR="005C4C3B">
        <w:rPr>
          <w:rFonts w:ascii="Arial" w:hAnsi="Arial" w:cs="Arial"/>
          <w:sz w:val="22"/>
          <w:szCs w:val="22"/>
        </w:rPr>
        <w:t>č. 458/2000 Sb.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66BE6" w:rsidRPr="00640F12">
        <w:rPr>
          <w:rFonts w:ascii="Arial" w:hAnsi="Arial" w:cs="Arial"/>
          <w:sz w:val="22"/>
          <w:szCs w:val="22"/>
        </w:rPr>
        <w:t>energetick</w:t>
      </w:r>
      <w:r w:rsidR="005C4C3B">
        <w:rPr>
          <w:rFonts w:ascii="Arial" w:hAnsi="Arial" w:cs="Arial"/>
          <w:sz w:val="22"/>
          <w:szCs w:val="22"/>
        </w:rPr>
        <w:t>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5C4C3B">
        <w:rPr>
          <w:rFonts w:ascii="Arial" w:hAnsi="Arial" w:cs="Arial"/>
          <w:sz w:val="22"/>
          <w:szCs w:val="22"/>
        </w:rPr>
        <w:t>, ve</w:t>
      </w:r>
      <w:r w:rsidR="003D6038" w:rsidRPr="00640F12">
        <w:rPr>
          <w:rFonts w:ascii="Arial" w:hAnsi="Arial" w:cs="Arial"/>
          <w:sz w:val="22"/>
          <w:szCs w:val="22"/>
        </w:rPr>
        <w:t xml:space="preserve"> znění</w:t>
      </w:r>
      <w:r w:rsidR="005C4C3B">
        <w:rPr>
          <w:rFonts w:ascii="Arial" w:hAnsi="Arial" w:cs="Arial"/>
          <w:sz w:val="22"/>
          <w:szCs w:val="22"/>
        </w:rPr>
        <w:t xml:space="preserve"> pozdějších předpisů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a </w:t>
      </w:r>
      <w:r w:rsidR="003D6038" w:rsidRPr="00640F12">
        <w:rPr>
          <w:rFonts w:ascii="Arial" w:hAnsi="Arial" w:cs="Arial"/>
          <w:sz w:val="22"/>
          <w:szCs w:val="22"/>
        </w:rPr>
        <w:t xml:space="preserve">oznámit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DB9CE36" w14:textId="77777777" w:rsidR="00C74F1B" w:rsidRPr="00640F12" w:rsidRDefault="00C74F1B" w:rsidP="002A5794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2C289DCC" w14:textId="65F89D79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2D3A6D15" w14:textId="458CA6CF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9A68A7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35778D88" w14:textId="77777777" w:rsidR="00B465D0" w:rsidRPr="00640F12" w:rsidRDefault="00F711A5" w:rsidP="002A5794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467D5826" w14:textId="1F48BA0D" w:rsidR="00B465D0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9A68A7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9A68A7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9A68A7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1AB770E" w14:textId="77777777" w:rsidR="00966BE6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3A033857" w14:textId="77777777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28953CCC" w14:textId="31115AD9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9A68A7">
        <w:rPr>
          <w:rFonts w:ascii="Arial" w:hAnsi="Arial" w:cs="Arial"/>
          <w:sz w:val="22"/>
          <w:szCs w:val="22"/>
        </w:rPr>
        <w:t> </w:t>
      </w:r>
      <w:r w:rsidR="00BE2E68" w:rsidRPr="00640F12">
        <w:rPr>
          <w:rFonts w:ascii="Arial" w:hAnsi="Arial" w:cs="Arial"/>
          <w:sz w:val="22"/>
          <w:szCs w:val="22"/>
        </w:rPr>
        <w:t>jeho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75127F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004A13C3" w14:textId="1366FCFD" w:rsidR="001D4F09" w:rsidRPr="00640F12" w:rsidRDefault="00535AB3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9A68A7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9A68A7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618EB79B" w14:textId="77777777" w:rsidR="00543474" w:rsidRPr="00543474" w:rsidRDefault="00543474" w:rsidP="00543474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543474">
        <w:rPr>
          <w:rFonts w:ascii="Arial" w:hAnsi="Arial" w:cs="Arial"/>
          <w:sz w:val="22"/>
          <w:szCs w:val="22"/>
        </w:rPr>
        <w:t xml:space="preserve">Po dokončení přeložky PZ se stavebník zavazuje zajistit kolaudační souhlas či jiné příslušné veřejnoprávní povolení k jejímu užívání dle stavebního zákona a jeho předání v originálním vyhotovení vlastníkovi PZ. V případě vydání rozhodnutí s doložkou právní moci předá stavebník toto rozhodnutí vlastníkovi PZ nejpozději do 30 dnů po nabytí právní moci či do 30 dnů ode dne nabytí právních účinků takového veřejnoprávního povolení. Nezajistí-li stavebník veřejnoprávní povolení k užívání přeložky PZ nebo nepředá veřejnoprávní povolení vlastníkovi PZ ve sjednané lhůtě </w:t>
      </w:r>
      <w:r w:rsidRPr="00543474">
        <w:rPr>
          <w:rFonts w:ascii="Arial" w:hAnsi="Arial" w:cs="Arial"/>
          <w:sz w:val="22"/>
          <w:szCs w:val="22"/>
        </w:rPr>
        <w:lastRenderedPageBreak/>
        <w:t>nebo formě, zavazuje se vlastníkovi PZ na jeho písemnou výzvu uhradit smluvní pokutu ve výši 10 000 Kč. Za řádně dokončenou přeložku PZ se považuje její provedení bez jakýchkoliv vad a nedodělků a její protokolární předání vlastníkovi PZ.</w:t>
      </w:r>
    </w:p>
    <w:p w14:paraId="49DC187A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1BA3E7CC" w14:textId="77777777" w:rsidR="00071299" w:rsidRPr="00282C47" w:rsidRDefault="00071299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7A005107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931642A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76DC8B60" w14:textId="48CE3FF6" w:rsidR="00B465D0" w:rsidRPr="00640F12" w:rsidRDefault="00F22519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9A68A7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05DBE647" w14:textId="4F671667" w:rsidR="00B465D0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9A68A7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601DE3C5" w14:textId="0EF92E27" w:rsidR="00DF3B2F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5C4C3B">
        <w:rPr>
          <w:rFonts w:ascii="Arial" w:hAnsi="Arial" w:cs="Arial"/>
          <w:sz w:val="22"/>
          <w:szCs w:val="22"/>
        </w:rPr>
        <w:t xml:space="preserve"> v požadovaném termínu </w:t>
      </w:r>
    </w:p>
    <w:p w14:paraId="75B7DC52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298C3B3D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03C959F9" w14:textId="7BBB4038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FE6979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E8D4B85" w14:textId="1C0F1705" w:rsidR="001F4B26" w:rsidRPr="00640F12" w:rsidRDefault="001F4B26" w:rsidP="002A579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5246D3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nemění a že realizovaná přeložka</w:t>
      </w:r>
      <w:r w:rsidR="005246D3">
        <w:rPr>
          <w:rFonts w:ascii="Arial" w:hAnsi="Arial" w:cs="Arial"/>
          <w:sz w:val="22"/>
          <w:szCs w:val="22"/>
        </w:rPr>
        <w:t xml:space="preserve"> PZ</w:t>
      </w:r>
      <w:r w:rsidR="006C1530">
        <w:rPr>
          <w:rFonts w:ascii="Arial" w:hAnsi="Arial" w:cs="Arial"/>
          <w:sz w:val="22"/>
          <w:szCs w:val="22"/>
        </w:rPr>
        <w:t>, tj. nová část,</w:t>
      </w:r>
      <w:r w:rsidRPr="00640F12">
        <w:rPr>
          <w:rFonts w:ascii="Arial" w:hAnsi="Arial" w:cs="Arial"/>
          <w:sz w:val="22"/>
          <w:szCs w:val="22"/>
        </w:rPr>
        <w:t xml:space="preserve"> po </w:t>
      </w:r>
      <w:r w:rsidR="006C1530">
        <w:rPr>
          <w:rFonts w:ascii="Arial" w:hAnsi="Arial" w:cs="Arial"/>
          <w:sz w:val="22"/>
          <w:szCs w:val="22"/>
        </w:rPr>
        <w:t xml:space="preserve">propojení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>, tj. </w:t>
      </w:r>
      <w:r w:rsidR="006C1530">
        <w:rPr>
          <w:rFonts w:ascii="Arial" w:hAnsi="Arial" w:cs="Arial"/>
          <w:sz w:val="22"/>
          <w:szCs w:val="22"/>
        </w:rPr>
        <w:t>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část, která bude s ohled</w:t>
      </w:r>
      <w:r w:rsidR="00524C6B">
        <w:rPr>
          <w:rFonts w:ascii="Arial" w:hAnsi="Arial" w:cs="Arial"/>
          <w:sz w:val="22"/>
          <w:szCs w:val="22"/>
        </w:rPr>
        <w:t>em</w:t>
      </w:r>
      <w:r w:rsidR="006C1530">
        <w:rPr>
          <w:rFonts w:ascii="Arial" w:hAnsi="Arial" w:cs="Arial"/>
          <w:sz w:val="22"/>
          <w:szCs w:val="22"/>
        </w:rPr>
        <w:t xml:space="preserve"> na čl. II odst. </w:t>
      </w:r>
      <w:r w:rsidR="00193CAC">
        <w:rPr>
          <w:rFonts w:ascii="Arial" w:hAnsi="Arial" w:cs="Arial"/>
          <w:sz w:val="22"/>
          <w:szCs w:val="22"/>
        </w:rPr>
        <w:t xml:space="preserve">1 </w:t>
      </w:r>
      <w:r w:rsidR="006C1530">
        <w:rPr>
          <w:rFonts w:ascii="Arial" w:hAnsi="Arial" w:cs="Arial"/>
          <w:sz w:val="22"/>
          <w:szCs w:val="22"/>
        </w:rPr>
        <w:t>této smlouvy podrobněji určena v příloze zápisu o technické přejímce a případně</w:t>
      </w:r>
      <w:r w:rsidRPr="00640F12">
        <w:rPr>
          <w:rFonts w:ascii="Arial" w:hAnsi="Arial" w:cs="Arial"/>
          <w:sz w:val="22"/>
          <w:szCs w:val="22"/>
        </w:rPr>
        <w:t xml:space="preserve"> vzniklé odpady</w:t>
      </w:r>
      <w:r w:rsidR="006C1530">
        <w:rPr>
          <w:rFonts w:ascii="Arial" w:hAnsi="Arial" w:cs="Arial"/>
          <w:sz w:val="22"/>
          <w:szCs w:val="22"/>
        </w:rPr>
        <w:t>, které stavebník řádně neodstranil, nabývá do</w:t>
      </w:r>
      <w:r w:rsidRPr="00640F12">
        <w:rPr>
          <w:rFonts w:ascii="Arial" w:hAnsi="Arial" w:cs="Arial"/>
          <w:sz w:val="22"/>
          <w:szCs w:val="22"/>
        </w:rPr>
        <w:t xml:space="preserve"> vlastnictví stavebník okamžikem </w:t>
      </w:r>
      <w:r w:rsidR="006C1530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="00144613">
        <w:rPr>
          <w:rFonts w:ascii="Arial" w:hAnsi="Arial" w:cs="Arial"/>
          <w:sz w:val="22"/>
          <w:szCs w:val="22"/>
        </w:rPr>
        <w:t>.</w:t>
      </w:r>
      <w:r w:rsidR="006C1530">
        <w:rPr>
          <w:rFonts w:ascii="Arial" w:hAnsi="Arial" w:cs="Arial"/>
          <w:sz w:val="22"/>
          <w:szCs w:val="22"/>
        </w:rPr>
        <w:t xml:space="preserve"> D</w:t>
      </w:r>
      <w:r w:rsidR="006C1530" w:rsidRPr="00144613">
        <w:rPr>
          <w:rFonts w:ascii="Arial" w:hAnsi="Arial" w:cs="Arial"/>
          <w:sz w:val="22"/>
          <w:szCs w:val="22"/>
        </w:rPr>
        <w:t>okument</w:t>
      </w:r>
      <w:r w:rsidR="006C1530">
        <w:rPr>
          <w:rFonts w:ascii="Arial" w:hAnsi="Arial" w:cs="Arial"/>
          <w:sz w:val="22"/>
          <w:szCs w:val="22"/>
        </w:rPr>
        <w:t xml:space="preserve">ace vyžadovaná k plynovodům </w:t>
      </w:r>
      <w:r w:rsidR="005C4C3B">
        <w:rPr>
          <w:rFonts w:ascii="Arial" w:hAnsi="Arial" w:cs="Arial"/>
          <w:sz w:val="22"/>
          <w:szCs w:val="22"/>
        </w:rPr>
        <w:t>nebude</w:t>
      </w:r>
      <w:r w:rsidR="006C1530">
        <w:rPr>
          <w:rFonts w:ascii="Arial" w:hAnsi="Arial" w:cs="Arial"/>
          <w:sz w:val="22"/>
          <w:szCs w:val="22"/>
        </w:rPr>
        <w:t xml:space="preserve"> stavebníkovi k zrušené části plynovodu předá</w:t>
      </w:r>
      <w:r w:rsidR="005C4C3B">
        <w:rPr>
          <w:rFonts w:ascii="Arial" w:hAnsi="Arial" w:cs="Arial"/>
          <w:sz w:val="22"/>
          <w:szCs w:val="22"/>
        </w:rPr>
        <w:t>na</w:t>
      </w:r>
      <w:r w:rsidR="006C1530">
        <w:rPr>
          <w:rFonts w:ascii="Arial" w:hAnsi="Arial" w:cs="Arial"/>
          <w:sz w:val="22"/>
          <w:szCs w:val="22"/>
        </w:rPr>
        <w:t xml:space="preserve">, neboť zrušená část </w:t>
      </w:r>
      <w:r w:rsidR="00193CAC">
        <w:rPr>
          <w:rFonts w:ascii="Arial" w:hAnsi="Arial" w:cs="Arial"/>
          <w:sz w:val="22"/>
          <w:szCs w:val="22"/>
        </w:rPr>
        <w:t>PZ</w:t>
      </w:r>
      <w:r w:rsidR="00AB3082">
        <w:rPr>
          <w:rFonts w:ascii="Arial" w:hAnsi="Arial" w:cs="Arial"/>
          <w:sz w:val="22"/>
          <w:szCs w:val="22"/>
        </w:rPr>
        <w:t xml:space="preserve"> </w:t>
      </w:r>
      <w:r w:rsidR="006C1530">
        <w:rPr>
          <w:rFonts w:ascii="Arial" w:hAnsi="Arial" w:cs="Arial"/>
          <w:sz w:val="22"/>
          <w:szCs w:val="22"/>
        </w:rPr>
        <w:t xml:space="preserve">již není plynovodem. Vlastník </w:t>
      </w:r>
      <w:r w:rsidR="005C4C3B">
        <w:rPr>
          <w:rFonts w:ascii="Arial" w:hAnsi="Arial" w:cs="Arial"/>
          <w:sz w:val="22"/>
          <w:szCs w:val="22"/>
        </w:rPr>
        <w:t>PZ</w:t>
      </w:r>
      <w:r w:rsidR="006C1530">
        <w:rPr>
          <w:rFonts w:ascii="Arial" w:hAnsi="Arial" w:cs="Arial"/>
          <w:sz w:val="22"/>
          <w:szCs w:val="22"/>
        </w:rPr>
        <w:t xml:space="preserve"> tímto stavebníka informuje o tom, že původní část </w:t>
      </w:r>
      <w:r w:rsidR="00B66683">
        <w:rPr>
          <w:rFonts w:ascii="Arial" w:hAnsi="Arial" w:cs="Arial"/>
          <w:sz w:val="22"/>
          <w:szCs w:val="22"/>
        </w:rPr>
        <w:t>plynárenského zařízení, tj.</w:t>
      </w:r>
      <w:r w:rsidR="006C1530">
        <w:rPr>
          <w:rFonts w:ascii="Arial" w:hAnsi="Arial" w:cs="Arial"/>
          <w:sz w:val="22"/>
          <w:szCs w:val="22"/>
        </w:rPr>
        <w:t xml:space="preserve"> 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</w:t>
      </w:r>
      <w:r w:rsidR="00B66683">
        <w:rPr>
          <w:rFonts w:ascii="Arial" w:hAnsi="Arial" w:cs="Arial"/>
          <w:sz w:val="22"/>
          <w:szCs w:val="22"/>
        </w:rPr>
        <w:t>,</w:t>
      </w:r>
      <w:r w:rsidR="006C1530">
        <w:rPr>
          <w:rFonts w:ascii="Arial" w:hAnsi="Arial" w:cs="Arial"/>
          <w:sz w:val="22"/>
          <w:szCs w:val="22"/>
        </w:rPr>
        <w:t xml:space="preserve"> je třeba odstranit z pozemku. Nahrazením dotčené části </w:t>
      </w:r>
      <w:r w:rsidR="00DD0459">
        <w:rPr>
          <w:rFonts w:ascii="Arial" w:hAnsi="Arial" w:cs="Arial"/>
          <w:sz w:val="22"/>
          <w:szCs w:val="22"/>
        </w:rPr>
        <w:t>ru</w:t>
      </w:r>
      <w:r w:rsidR="006C1530">
        <w:rPr>
          <w:rFonts w:ascii="Arial" w:hAnsi="Arial" w:cs="Arial"/>
          <w:sz w:val="22"/>
          <w:szCs w:val="22"/>
        </w:rPr>
        <w:t xml:space="preserve">šeného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6C1530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</w:p>
    <w:p w14:paraId="6D9711A5" w14:textId="2F4AD92D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</w:t>
      </w:r>
      <w:r w:rsidR="005C4C3B">
        <w:rPr>
          <w:rFonts w:ascii="Arial" w:hAnsi="Arial" w:cs="Arial"/>
          <w:sz w:val="22"/>
          <w:szCs w:val="22"/>
        </w:rPr>
        <w:t xml:space="preserve">stavebník je povinen </w:t>
      </w:r>
      <w:r w:rsidR="000349BA" w:rsidRPr="00640F12">
        <w:rPr>
          <w:rFonts w:ascii="Arial" w:hAnsi="Arial" w:cs="Arial"/>
          <w:sz w:val="22"/>
          <w:szCs w:val="22"/>
        </w:rPr>
        <w:t>zajistit zřízení věcného břemene</w:t>
      </w:r>
      <w:r w:rsidR="00144613">
        <w:rPr>
          <w:rFonts w:ascii="Arial" w:hAnsi="Arial" w:cs="Arial"/>
          <w:sz w:val="22"/>
          <w:szCs w:val="22"/>
        </w:rPr>
        <w:t xml:space="preserve"> ve </w:t>
      </w:r>
      <w:r w:rsidR="002A5794">
        <w:rPr>
          <w:rFonts w:ascii="Arial" w:hAnsi="Arial" w:cs="Arial"/>
          <w:sz w:val="22"/>
          <w:szCs w:val="22"/>
        </w:rPr>
        <w:t xml:space="preserve">smyslu služebnosti </w:t>
      </w:r>
      <w:r w:rsidR="000349BA"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katastru nemovitostí</w:t>
      </w:r>
      <w:r w:rsidR="005C4C3B">
        <w:rPr>
          <w:rFonts w:ascii="Arial" w:hAnsi="Arial" w:cs="Arial"/>
          <w:sz w:val="22"/>
          <w:szCs w:val="22"/>
        </w:rPr>
        <w:t xml:space="preserve">. Za </w:t>
      </w:r>
      <w:r w:rsidR="000349BA" w:rsidRPr="00640F12">
        <w:rPr>
          <w:rFonts w:ascii="Arial" w:hAnsi="Arial" w:cs="Arial"/>
          <w:sz w:val="22"/>
          <w:szCs w:val="22"/>
        </w:rPr>
        <w:t>věcn</w:t>
      </w:r>
      <w:r w:rsidR="005C4C3B">
        <w:rPr>
          <w:rFonts w:ascii="Arial" w:hAnsi="Arial" w:cs="Arial"/>
          <w:sz w:val="22"/>
          <w:szCs w:val="22"/>
        </w:rPr>
        <w:t>ou</w:t>
      </w:r>
      <w:r w:rsidR="000349BA" w:rsidRPr="00640F12">
        <w:rPr>
          <w:rFonts w:ascii="Arial" w:hAnsi="Arial" w:cs="Arial"/>
          <w:sz w:val="22"/>
          <w:szCs w:val="22"/>
        </w:rPr>
        <w:t xml:space="preserve"> a formální správnost veškerých relevantních dokumentů, </w:t>
      </w:r>
      <w:r w:rsidR="005C4C3B">
        <w:rPr>
          <w:rFonts w:ascii="Arial" w:hAnsi="Arial" w:cs="Arial"/>
          <w:sz w:val="22"/>
          <w:szCs w:val="22"/>
        </w:rPr>
        <w:t>které jsou</w:t>
      </w:r>
      <w:r w:rsidR="00144613">
        <w:rPr>
          <w:rFonts w:ascii="Arial" w:hAnsi="Arial" w:cs="Arial"/>
          <w:sz w:val="22"/>
          <w:szCs w:val="22"/>
        </w:rPr>
        <w:t xml:space="preserve"> přílohou návrhu na vklad podle </w:t>
      </w:r>
      <w:r w:rsidR="005C4C3B">
        <w:rPr>
          <w:rFonts w:ascii="Arial" w:hAnsi="Arial" w:cs="Arial"/>
          <w:sz w:val="22"/>
          <w:szCs w:val="22"/>
        </w:rPr>
        <w:t xml:space="preserve">katastrálního zákona č. 256/2013 Sb. v platném znění odpovídá </w:t>
      </w:r>
      <w:r w:rsidR="000349BA" w:rsidRPr="00640F12">
        <w:rPr>
          <w:rFonts w:ascii="Arial" w:hAnsi="Arial" w:cs="Arial"/>
          <w:sz w:val="22"/>
          <w:szCs w:val="22"/>
        </w:rPr>
        <w:t>stavebník</w:t>
      </w:r>
      <w:r w:rsidR="005C4C3B">
        <w:rPr>
          <w:rFonts w:ascii="Arial" w:hAnsi="Arial" w:cs="Arial"/>
          <w:sz w:val="22"/>
          <w:szCs w:val="22"/>
        </w:rPr>
        <w:t>. Stavebník není povinen</w:t>
      </w:r>
      <w:r w:rsidR="000349BA" w:rsidRPr="00640F12">
        <w:rPr>
          <w:rFonts w:ascii="Arial" w:hAnsi="Arial" w:cs="Arial"/>
          <w:sz w:val="22"/>
          <w:szCs w:val="22"/>
        </w:rPr>
        <w:t xml:space="preserve"> zajistit zřízení VB k pozemkům ve vlastnictví vlastníka PZ</w:t>
      </w:r>
      <w:r w:rsidR="00640F12" w:rsidRPr="00640F12">
        <w:rPr>
          <w:rFonts w:ascii="Arial" w:hAnsi="Arial" w:cs="Arial"/>
          <w:sz w:val="22"/>
          <w:szCs w:val="22"/>
        </w:rPr>
        <w:t>.</w:t>
      </w:r>
    </w:p>
    <w:p w14:paraId="578CC919" w14:textId="1B96A2BA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5C4C3B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5C4C3B">
        <w:rPr>
          <w:rFonts w:ascii="Arial" w:hAnsi="Arial" w:cs="Arial"/>
          <w:sz w:val="22"/>
          <w:szCs w:val="22"/>
        </w:rPr>
        <w:t>nese</w:t>
      </w:r>
      <w:r w:rsidRPr="00640F12">
        <w:rPr>
          <w:rFonts w:ascii="Arial" w:hAnsi="Arial" w:cs="Arial"/>
          <w:sz w:val="22"/>
          <w:szCs w:val="22"/>
        </w:rPr>
        <w:t xml:space="preserve"> 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5C4C3B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C4C3B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5C4C3B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5C4C3B">
        <w:rPr>
          <w:rFonts w:ascii="Arial" w:hAnsi="Arial" w:cs="Arial"/>
          <w:sz w:val="22"/>
          <w:szCs w:val="22"/>
        </w:rPr>
        <w:t>případné</w:t>
      </w:r>
      <w:r w:rsidRPr="00640F12">
        <w:rPr>
          <w:rFonts w:ascii="Arial" w:hAnsi="Arial" w:cs="Arial"/>
          <w:sz w:val="22"/>
          <w:szCs w:val="22"/>
        </w:rPr>
        <w:t xml:space="preserve">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5C4C3B">
        <w:rPr>
          <w:rFonts w:ascii="Arial" w:hAnsi="Arial" w:cs="Arial"/>
          <w:sz w:val="22"/>
          <w:szCs w:val="22"/>
        </w:rPr>
        <w:t xml:space="preserve"> nese</w:t>
      </w:r>
      <w:r w:rsidRPr="00640F12">
        <w:rPr>
          <w:rFonts w:ascii="Arial" w:hAnsi="Arial" w:cs="Arial"/>
          <w:sz w:val="22"/>
          <w:szCs w:val="22"/>
        </w:rPr>
        <w:t xml:space="preserve"> vlastník PZ</w:t>
      </w:r>
      <w:r w:rsidR="005C4C3B">
        <w:rPr>
          <w:rFonts w:ascii="Arial" w:hAnsi="Arial" w:cs="Arial"/>
          <w:sz w:val="22"/>
          <w:szCs w:val="22"/>
        </w:rPr>
        <w:t xml:space="preserve">, a to </w:t>
      </w:r>
      <w:r w:rsidR="0002382E">
        <w:rPr>
          <w:rFonts w:ascii="Arial" w:hAnsi="Arial" w:cs="Arial"/>
          <w:sz w:val="22"/>
          <w:szCs w:val="22"/>
        </w:rPr>
        <w:t>v</w:t>
      </w:r>
      <w:r w:rsidR="00BC428B">
        <w:rPr>
          <w:rFonts w:ascii="Arial" w:hAnsi="Arial" w:cs="Arial"/>
          <w:sz w:val="22"/>
          <w:szCs w:val="22"/>
        </w:rPr>
        <w:t> </w:t>
      </w:r>
      <w:r w:rsidR="0002382E">
        <w:rPr>
          <w:rFonts w:ascii="Arial" w:hAnsi="Arial" w:cs="Arial"/>
          <w:sz w:val="22"/>
          <w:szCs w:val="22"/>
        </w:rPr>
        <w:t>jednorázové</w:t>
      </w:r>
      <w:r w:rsidR="00BC428B">
        <w:rPr>
          <w:rFonts w:ascii="Arial" w:hAnsi="Arial" w:cs="Arial"/>
          <w:sz w:val="22"/>
          <w:szCs w:val="22"/>
        </w:rPr>
        <w:t xml:space="preserve"> výši 100 Kč</w:t>
      </w:r>
      <w:r w:rsidR="0002382E">
        <w:rPr>
          <w:rFonts w:ascii="Arial" w:hAnsi="Arial" w:cs="Arial"/>
          <w:sz w:val="22"/>
          <w:szCs w:val="22"/>
        </w:rPr>
        <w:t xml:space="preserve"> </w:t>
      </w:r>
      <w:r w:rsidR="00DB38C6">
        <w:rPr>
          <w:rFonts w:ascii="Arial" w:hAnsi="Arial" w:cs="Arial"/>
          <w:sz w:val="22"/>
          <w:szCs w:val="22"/>
        </w:rPr>
        <w:t>(bez DPH)</w:t>
      </w:r>
      <w:r w:rsidR="0002382E">
        <w:rPr>
          <w:rFonts w:ascii="Arial" w:hAnsi="Arial" w:cs="Arial"/>
          <w:sz w:val="22"/>
          <w:szCs w:val="22"/>
        </w:rPr>
        <w:t>.</w:t>
      </w:r>
    </w:p>
    <w:p w14:paraId="69CB2CB9" w14:textId="77777777" w:rsidR="00F5340D" w:rsidRDefault="00F5340D" w:rsidP="00647EE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>
        <w:rPr>
          <w:rFonts w:ascii="Arial" w:hAnsi="Arial" w:cs="Arial"/>
          <w:sz w:val="20"/>
          <w:szCs w:val="20"/>
        </w:rPr>
        <w:t>v rozsahu níže uvedeném,</w:t>
      </w:r>
      <w:r w:rsidRPr="00297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>
        <w:rPr>
          <w:rFonts w:ascii="Arial" w:hAnsi="Arial" w:cs="Arial"/>
          <w:sz w:val="20"/>
          <w:szCs w:val="20"/>
        </w:rPr>
        <w:t>přiložených k této smlouvě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>
        <w:rPr>
          <w:rFonts w:ascii="Arial" w:hAnsi="Arial" w:cs="Arial"/>
          <w:sz w:val="20"/>
          <w:szCs w:val="20"/>
        </w:rPr>
        <w:t xml:space="preserve"> </w:t>
      </w:r>
      <w:r w:rsidRPr="00B106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strany se dohodly, že rozsah VB vyznačený v geometrických plánech k částem pozemků dotčeným přeložkou PZ bude odpovídat:</w:t>
      </w:r>
    </w:p>
    <w:p w14:paraId="327FA6CD" w14:textId="77777777" w:rsidR="00F5340D" w:rsidRPr="005942B5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62EC808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a1)</w:t>
      </w:r>
      <w:r w:rsidRPr="005942B5">
        <w:rPr>
          <w:rFonts w:ascii="Arial" w:hAnsi="Arial" w:cs="Arial"/>
          <w:sz w:val="20"/>
          <w:szCs w:val="20"/>
        </w:rPr>
        <w:tab/>
        <w:t>NTL a STL vždy jeden metr na každou stranu od půdorysu plynovodu,</w:t>
      </w:r>
    </w:p>
    <w:p w14:paraId="2BBCD8A3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a2)</w:t>
      </w:r>
      <w:r w:rsidRPr="005942B5">
        <w:rPr>
          <w:rFonts w:ascii="Arial" w:hAnsi="Arial" w:cs="Arial"/>
          <w:sz w:val="20"/>
          <w:szCs w:val="20"/>
        </w:rPr>
        <w:tab/>
        <w:t>VTL vždy čtyři metry na každou stranu od půdorysu plynovodu,</w:t>
      </w:r>
    </w:p>
    <w:p w14:paraId="06CFB71E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9B09B77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b1)</w:t>
      </w:r>
      <w:r w:rsidRPr="005942B5">
        <w:rPr>
          <w:rFonts w:ascii="Arial" w:hAnsi="Arial" w:cs="Arial"/>
          <w:sz w:val="20"/>
          <w:szCs w:val="20"/>
        </w:rPr>
        <w:tab/>
        <w:t>do 4 bar včetně vždy jeden metr na každou stranu od půdorysu plynovodu,</w:t>
      </w:r>
    </w:p>
    <w:p w14:paraId="37490C75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>nad 4 bar do 40 bar včetně vždy dva metry na každou stranu od půdorysu plynovodu,</w:t>
      </w:r>
    </w:p>
    <w:p w14:paraId="086FB162" w14:textId="77777777" w:rsidR="00F5340D" w:rsidRPr="00C81A3E" w:rsidRDefault="00F5340D" w:rsidP="00F5340D">
      <w:pPr>
        <w:ind w:left="1062" w:firstLine="348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>nad 40 bar vždy čtyři metry na každou stranu od půdorysu plynovodu.</w:t>
      </w:r>
    </w:p>
    <w:p w14:paraId="3FF4BE04" w14:textId="77777777" w:rsidR="00F5340D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lastRenderedPageBreak/>
        <w:t xml:space="preserve">Geometrický plán bude vyhotoven i ve formátu </w:t>
      </w:r>
      <w:proofErr w:type="spellStart"/>
      <w:r w:rsidRPr="00F46B57">
        <w:rPr>
          <w:rFonts w:ascii="Arial" w:hAnsi="Arial" w:cs="Arial"/>
          <w:sz w:val="20"/>
          <w:szCs w:val="20"/>
        </w:rPr>
        <w:t>dgn</w:t>
      </w:r>
      <w:proofErr w:type="spellEnd"/>
      <w:r w:rsidRPr="00F46B57">
        <w:rPr>
          <w:rFonts w:ascii="Arial" w:hAnsi="Arial" w:cs="Arial"/>
          <w:sz w:val="20"/>
          <w:szCs w:val="20"/>
        </w:rPr>
        <w:t xml:space="preserve">. v souladu s dokumentací distribuční </w:t>
      </w:r>
      <w:proofErr w:type="gramStart"/>
      <w:r w:rsidRPr="00F46B57">
        <w:rPr>
          <w:rFonts w:ascii="Arial" w:hAnsi="Arial" w:cs="Arial"/>
          <w:sz w:val="20"/>
          <w:szCs w:val="20"/>
        </w:rPr>
        <w:t>soustavy  http</w:t>
      </w:r>
      <w:proofErr w:type="gramEnd"/>
      <w:r w:rsidRPr="00F46B57">
        <w:rPr>
          <w:rFonts w:ascii="Arial" w:hAnsi="Arial" w:cs="Arial"/>
          <w:sz w:val="20"/>
          <w:szCs w:val="20"/>
        </w:rPr>
        <w:t>://www.</w:t>
      </w:r>
      <w:r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Pr="00297711">
        <w:rPr>
          <w:rFonts w:ascii="Arial" w:hAnsi="Arial" w:cs="Arial"/>
          <w:sz w:val="20"/>
          <w:szCs w:val="20"/>
        </w:rPr>
        <w:t>V případě, že Stavebník nesplní povinnosti uvedené v tomto odstavci, nebude přeložka PZ propojena s distribuční soustavou.</w:t>
      </w:r>
      <w:r>
        <w:rPr>
          <w:rFonts w:ascii="Arial" w:hAnsi="Arial" w:cs="Arial"/>
          <w:sz w:val="20"/>
          <w:szCs w:val="20"/>
        </w:rPr>
        <w:t xml:space="preserve"> Za splnění podmínky uzavření smlouvy o zřízení VB dle tohoto článku smlouvy se rozumí rovněž vyvlastnění práva odpovídajícího VB.</w:t>
      </w:r>
    </w:p>
    <w:p w14:paraId="2327D299" w14:textId="79BFC180" w:rsidR="00220599" w:rsidRPr="007654F3" w:rsidRDefault="0022059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</w:t>
      </w:r>
      <w:r w:rsidR="00144613">
        <w:rPr>
          <w:rFonts w:ascii="Arial" w:hAnsi="Arial" w:cs="Arial"/>
          <w:sz w:val="22"/>
          <w:szCs w:val="22"/>
        </w:rPr>
        <w:t>enými vzory upravují vztah mezi </w:t>
      </w:r>
      <w:r w:rsidRPr="007654F3">
        <w:rPr>
          <w:rFonts w:ascii="Arial" w:hAnsi="Arial" w:cs="Arial"/>
          <w:sz w:val="22"/>
          <w:szCs w:val="22"/>
        </w:rPr>
        <w:t>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 svého vlastnictví. Pro případ porušení povinno</w:t>
      </w:r>
      <w:r w:rsidR="00144613">
        <w:rPr>
          <w:rFonts w:ascii="Arial" w:hAnsi="Arial" w:cs="Arial"/>
          <w:sz w:val="22"/>
          <w:szCs w:val="22"/>
        </w:rPr>
        <w:t>sti informování vlastníka PZ se </w:t>
      </w:r>
      <w:r w:rsidRPr="007654F3">
        <w:rPr>
          <w:rFonts w:ascii="Arial" w:hAnsi="Arial" w:cs="Arial"/>
          <w:sz w:val="22"/>
          <w:szCs w:val="22"/>
        </w:rPr>
        <w:t>sjednává smluvní pokuta ve výši 10.000 Kč/pozemek. Pro případ neuzavření příslušné smlouvy se sjednává smluvní pokuta ve výši 50.000 Kč/pozemek. Nárok na uplatnění náhrady škody tímto není dotčen.</w:t>
      </w:r>
    </w:p>
    <w:p w14:paraId="0B713B83" w14:textId="393E2BBF" w:rsidR="00C9771A" w:rsidRPr="00F83D06" w:rsidRDefault="00296590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bude vyhotoven v souladu s </w:t>
      </w:r>
      <w:r w:rsidRPr="00404F59">
        <w:rPr>
          <w:rFonts w:ascii="Arial" w:hAnsi="Arial" w:cs="Arial"/>
          <w:sz w:val="22"/>
          <w:szCs w:val="22"/>
        </w:rPr>
        <w:t>dokumentac</w:t>
      </w:r>
      <w:r>
        <w:rPr>
          <w:rFonts w:ascii="Arial" w:hAnsi="Arial" w:cs="Arial"/>
          <w:sz w:val="22"/>
          <w:szCs w:val="22"/>
        </w:rPr>
        <w:t>í</w:t>
      </w:r>
      <w:r w:rsidRPr="00404F59">
        <w:rPr>
          <w:rFonts w:ascii="Arial" w:hAnsi="Arial" w:cs="Arial"/>
          <w:sz w:val="22"/>
          <w:szCs w:val="22"/>
        </w:rPr>
        <w:t xml:space="preserve"> distribuční soustavy </w:t>
      </w:r>
      <w:r>
        <w:rPr>
          <w:rFonts w:ascii="Arial" w:hAnsi="Arial" w:cs="Arial"/>
          <w:sz w:val="22"/>
          <w:szCs w:val="22"/>
        </w:rPr>
        <w:t xml:space="preserve">- </w:t>
      </w:r>
      <w:hyperlink r:id="rId9" w:history="1">
        <w:r w:rsidR="0075127F" w:rsidRPr="00144613">
          <w:rPr>
            <w:rFonts w:ascii="Arial" w:hAnsi="Arial" w:cs="Arial"/>
            <w:sz w:val="22"/>
            <w:szCs w:val="22"/>
          </w:rPr>
          <w:t>http://www.gasnet.cz/cs/technicke-dokumenty/</w:t>
        </w:r>
      </w:hyperlink>
      <w:r w:rsidRPr="00F83D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8258B">
        <w:rPr>
          <w:rFonts w:ascii="Arial" w:hAnsi="Arial" w:cs="Arial"/>
          <w:sz w:val="22"/>
          <w:szCs w:val="22"/>
        </w:rPr>
        <w:t xml:space="preserve">Stavebník se zavazuje předložit geometrický plán vlastníkovi PZ nejpozději k přejímce přeložky </w:t>
      </w:r>
      <w:r w:rsidR="000A2899">
        <w:rPr>
          <w:rFonts w:ascii="Arial" w:hAnsi="Arial" w:cs="Arial"/>
          <w:sz w:val="22"/>
          <w:szCs w:val="22"/>
        </w:rPr>
        <w:t xml:space="preserve">PZ </w:t>
      </w:r>
      <w:r w:rsidR="00A8258B">
        <w:rPr>
          <w:rFonts w:ascii="Arial" w:hAnsi="Arial" w:cs="Arial"/>
          <w:sz w:val="22"/>
          <w:szCs w:val="22"/>
        </w:rPr>
        <w:t xml:space="preserve">k provedení kontroly </w:t>
      </w:r>
      <w:r>
        <w:rPr>
          <w:rFonts w:ascii="Arial" w:hAnsi="Arial" w:cs="Arial"/>
          <w:sz w:val="22"/>
          <w:szCs w:val="22"/>
        </w:rPr>
        <w:t>jak</w:t>
      </w:r>
      <w:r w:rsidR="001446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stanoveného rozsahu VB</w:t>
      </w:r>
      <w:r w:rsidR="003F6C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tak i </w:t>
      </w:r>
      <w:r w:rsidR="001B5593">
        <w:rPr>
          <w:rFonts w:ascii="Arial" w:hAnsi="Arial" w:cs="Arial"/>
          <w:sz w:val="22"/>
          <w:szCs w:val="22"/>
        </w:rPr>
        <w:t xml:space="preserve">dodržení </w:t>
      </w:r>
      <w:r w:rsidR="00A8258B">
        <w:rPr>
          <w:rFonts w:ascii="Arial" w:hAnsi="Arial" w:cs="Arial"/>
          <w:sz w:val="22"/>
          <w:szCs w:val="22"/>
        </w:rPr>
        <w:t xml:space="preserve">smluvních vztahů. </w:t>
      </w:r>
      <w:r w:rsidR="00C9771A" w:rsidRPr="008B1D5C">
        <w:rPr>
          <w:rFonts w:ascii="Arial" w:hAnsi="Arial" w:cs="Arial"/>
          <w:sz w:val="22"/>
          <w:szCs w:val="22"/>
        </w:rPr>
        <w:t>V případě</w:t>
      </w:r>
      <w:r w:rsidR="002768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zjištění </w:t>
      </w:r>
      <w:r w:rsidR="00276837">
        <w:rPr>
          <w:rFonts w:ascii="Arial" w:hAnsi="Arial" w:cs="Arial"/>
          <w:sz w:val="22"/>
          <w:szCs w:val="22"/>
        </w:rPr>
        <w:t>nesplnění podmínek</w:t>
      </w:r>
      <w:r w:rsidR="00C9771A" w:rsidRPr="008B1D5C">
        <w:rPr>
          <w:rFonts w:ascii="Arial" w:hAnsi="Arial" w:cs="Arial"/>
          <w:sz w:val="22"/>
          <w:szCs w:val="22"/>
        </w:rPr>
        <w:t xml:space="preserve"> nebude přeložka PZ propojena s distribuční soustavou. </w:t>
      </w:r>
    </w:p>
    <w:p w14:paraId="1204D9CC" w14:textId="0A24A35B" w:rsid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Stavebník se zavazuje provést vklad VB ve prospěch vlastníka PZ do katastru nemovitostí ke všem pozemkům dotčeným přeložkou PZ do jednoho r</w:t>
      </w:r>
      <w:r w:rsidR="00144613">
        <w:rPr>
          <w:rFonts w:ascii="Arial" w:hAnsi="Arial" w:cs="Arial"/>
          <w:sz w:val="22"/>
          <w:szCs w:val="22"/>
        </w:rPr>
        <w:t>oku od protokolárního předání a </w:t>
      </w:r>
      <w:r w:rsidRPr="008B1D5C">
        <w:rPr>
          <w:rFonts w:ascii="Arial" w:hAnsi="Arial" w:cs="Arial"/>
          <w:sz w:val="22"/>
          <w:szCs w:val="22"/>
        </w:rPr>
        <w:t>převzetí přeložky PZ vlastníkem PZ.</w:t>
      </w:r>
    </w:p>
    <w:p w14:paraId="5F242C57" w14:textId="2FFBF34A" w:rsidR="008B1D5C" w:rsidRP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Nedohodnou-li se </w:t>
      </w:r>
      <w:r w:rsidRPr="008B1D5C">
        <w:rPr>
          <w:rFonts w:ascii="Arial" w:hAnsi="Arial" w:cs="Arial"/>
          <w:sz w:val="22"/>
          <w:szCs w:val="22"/>
        </w:rPr>
        <w:t xml:space="preserve">smluvní strany jinak, je stavebník povinen nejpozději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příslušného katastru nemovitostí protokolárně předat vlastníku PZ seznam všech pozemků dotčených přeložkou </w:t>
      </w:r>
      <w:r>
        <w:rPr>
          <w:rFonts w:ascii="Arial" w:hAnsi="Arial" w:cs="Arial"/>
          <w:sz w:val="22"/>
          <w:szCs w:val="22"/>
        </w:rPr>
        <w:t xml:space="preserve">PZ </w:t>
      </w:r>
      <w:r w:rsidRPr="008B1D5C">
        <w:rPr>
          <w:rFonts w:ascii="Arial" w:hAnsi="Arial" w:cs="Arial"/>
          <w:sz w:val="22"/>
          <w:szCs w:val="22"/>
        </w:rPr>
        <w:t>s infor</w:t>
      </w:r>
      <w:r w:rsidR="00144613">
        <w:rPr>
          <w:rFonts w:ascii="Arial" w:hAnsi="Arial" w:cs="Arial"/>
          <w:sz w:val="22"/>
          <w:szCs w:val="22"/>
        </w:rPr>
        <w:t>mací o </w:t>
      </w:r>
      <w:r w:rsidRPr="008B1D5C">
        <w:rPr>
          <w:rFonts w:ascii="Arial" w:hAnsi="Arial" w:cs="Arial"/>
          <w:sz w:val="22"/>
          <w:szCs w:val="22"/>
        </w:rPr>
        <w:t xml:space="preserve">provedeném vkladu (číslo jednací)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katastru nemovitostí včetně veškerých relevantních dokladů pro zřízení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pozemkům d</w:t>
      </w:r>
      <w:r w:rsidR="00144613">
        <w:rPr>
          <w:rFonts w:ascii="Arial" w:hAnsi="Arial" w:cs="Arial"/>
          <w:sz w:val="22"/>
          <w:szCs w:val="22"/>
        </w:rPr>
        <w:t>otčeným přeložkou PZ, ke kterým </w:t>
      </w:r>
      <w:r w:rsidRPr="008B1D5C">
        <w:rPr>
          <w:rFonts w:ascii="Arial" w:hAnsi="Arial" w:cs="Arial"/>
          <w:sz w:val="22"/>
          <w:szCs w:val="22"/>
        </w:rPr>
        <w:t xml:space="preserve">nebylo zřízeno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="00144613">
        <w:rPr>
          <w:rFonts w:ascii="Arial" w:hAnsi="Arial" w:cs="Arial"/>
          <w:sz w:val="22"/>
          <w:szCs w:val="22"/>
        </w:rPr>
        <w:t xml:space="preserve"> do </w:t>
      </w:r>
      <w:r w:rsidRPr="008B1D5C">
        <w:rPr>
          <w:rFonts w:ascii="Arial" w:hAnsi="Arial" w:cs="Arial"/>
          <w:sz w:val="22"/>
          <w:szCs w:val="22"/>
        </w:rPr>
        <w:t>příslušného katastru nemovitostí.</w:t>
      </w:r>
    </w:p>
    <w:p w14:paraId="09C5FF84" w14:textId="77777777" w:rsidR="00C9771A" w:rsidRPr="008B1D5C" w:rsidRDefault="00C9771A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Okamžikem protokolárního pře</w:t>
      </w:r>
      <w:r w:rsidR="008B1D5C" w:rsidRPr="008B1D5C">
        <w:rPr>
          <w:rFonts w:ascii="Arial" w:hAnsi="Arial" w:cs="Arial"/>
          <w:sz w:val="22"/>
          <w:szCs w:val="22"/>
        </w:rPr>
        <w:t>vzetí</w:t>
      </w:r>
      <w:r w:rsidRPr="008B1D5C">
        <w:rPr>
          <w:rFonts w:ascii="Arial" w:hAnsi="Arial" w:cs="Arial"/>
          <w:sz w:val="22"/>
          <w:szCs w:val="22"/>
        </w:rPr>
        <w:t xml:space="preserve"> písemností </w:t>
      </w:r>
      <w:r w:rsidR="008B1D5C" w:rsidRPr="008B1D5C">
        <w:rPr>
          <w:rFonts w:ascii="Arial" w:hAnsi="Arial" w:cs="Arial"/>
          <w:sz w:val="22"/>
          <w:szCs w:val="22"/>
        </w:rPr>
        <w:t xml:space="preserve">uvedených v odst. 6 </w:t>
      </w:r>
      <w:r w:rsidRPr="008B1D5C">
        <w:rPr>
          <w:rFonts w:ascii="Arial" w:hAnsi="Arial" w:cs="Arial"/>
          <w:sz w:val="22"/>
          <w:szCs w:val="22"/>
        </w:rPr>
        <w:t>t</w:t>
      </w:r>
      <w:r w:rsidR="008B1D5C" w:rsidRPr="008B1D5C">
        <w:rPr>
          <w:rFonts w:ascii="Arial" w:hAnsi="Arial" w:cs="Arial"/>
          <w:sz w:val="22"/>
          <w:szCs w:val="22"/>
        </w:rPr>
        <w:t>ohoto</w:t>
      </w:r>
      <w:r w:rsidRPr="008B1D5C">
        <w:rPr>
          <w:rFonts w:ascii="Arial" w:hAnsi="Arial" w:cs="Arial"/>
          <w:sz w:val="22"/>
          <w:szCs w:val="22"/>
        </w:rPr>
        <w:t xml:space="preserve"> </w:t>
      </w:r>
      <w:r w:rsidR="008B1D5C" w:rsidRPr="008B1D5C">
        <w:rPr>
          <w:rFonts w:ascii="Arial" w:hAnsi="Arial" w:cs="Arial"/>
          <w:sz w:val="22"/>
          <w:szCs w:val="22"/>
        </w:rPr>
        <w:t>článku</w:t>
      </w:r>
      <w:r w:rsidRPr="008B1D5C">
        <w:rPr>
          <w:rFonts w:ascii="Arial" w:hAnsi="Arial" w:cs="Arial"/>
          <w:sz w:val="22"/>
          <w:szCs w:val="22"/>
        </w:rPr>
        <w:t xml:space="preserve"> přechází povinnost zajistit zřízení </w:t>
      </w:r>
      <w:r w:rsidR="008B1D5C" w:rsidRPr="008B1D5C">
        <w:rPr>
          <w:rFonts w:ascii="Arial" w:hAnsi="Arial" w:cs="Arial"/>
          <w:sz w:val="22"/>
          <w:szCs w:val="22"/>
        </w:rPr>
        <w:t>V</w:t>
      </w:r>
      <w:r w:rsidRPr="008B1D5C">
        <w:rPr>
          <w:rFonts w:ascii="Arial" w:hAnsi="Arial" w:cs="Arial"/>
          <w:sz w:val="22"/>
          <w:szCs w:val="22"/>
        </w:rPr>
        <w:t>B k pozemkům dotčeným přeložkou PZ na vlastníka PZ.</w:t>
      </w:r>
    </w:p>
    <w:p w14:paraId="0BE832BD" w14:textId="7DEC6C9A" w:rsidR="0070723A" w:rsidRPr="00640F12" w:rsidRDefault="001F4B26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144613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220599">
        <w:rPr>
          <w:rFonts w:ascii="Arial" w:hAnsi="Arial" w:cs="Arial"/>
          <w:sz w:val="22"/>
          <w:szCs w:val="22"/>
        </w:rPr>
        <w:t>úplat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>prokazatelně uhrazené vlastníkům pozemků dotčených přeložkou PZ, cena geometrického plánu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3.500</w:t>
      </w:r>
      <w:r w:rsidR="000F78E7" w:rsidRPr="00640F12">
        <w:rPr>
          <w:rFonts w:ascii="Arial" w:hAnsi="Arial" w:cs="Arial"/>
          <w:sz w:val="22"/>
          <w:szCs w:val="22"/>
        </w:rPr>
        <w:t>,- Kč/100</w:t>
      </w:r>
      <w:r w:rsidR="003C2C5D" w:rsidRPr="00640F12">
        <w:rPr>
          <w:rFonts w:ascii="Arial" w:hAnsi="Arial" w:cs="Arial"/>
          <w:sz w:val="22"/>
          <w:szCs w:val="22"/>
        </w:rPr>
        <w:t>b</w:t>
      </w:r>
      <w:r w:rsidR="000F78E7" w:rsidRPr="00640F12">
        <w:rPr>
          <w:rFonts w:ascii="Arial" w:hAnsi="Arial" w:cs="Arial"/>
          <w:sz w:val="22"/>
          <w:szCs w:val="22"/>
        </w:rPr>
        <w:t xml:space="preserve">m </w:t>
      </w:r>
      <w:r w:rsidR="003C2C5D" w:rsidRPr="00640F12">
        <w:rPr>
          <w:rFonts w:ascii="Arial" w:hAnsi="Arial" w:cs="Arial"/>
          <w:sz w:val="22"/>
          <w:szCs w:val="22"/>
        </w:rPr>
        <w:t>PZ</w:t>
      </w:r>
      <w:r w:rsidR="000F78E7" w:rsidRPr="00640F12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220599">
        <w:rPr>
          <w:rFonts w:ascii="Arial" w:hAnsi="Arial" w:cs="Arial"/>
          <w:sz w:val="22"/>
          <w:szCs w:val="22"/>
        </w:rPr>
        <w:t xml:space="preserve"> maximálně</w:t>
      </w:r>
      <w:r w:rsidR="000F78E7" w:rsidRPr="00640F12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4.500</w:t>
      </w:r>
      <w:r w:rsidR="000F78E7" w:rsidRPr="00640F12">
        <w:rPr>
          <w:rFonts w:ascii="Arial" w:hAnsi="Arial" w:cs="Arial"/>
          <w:sz w:val="22"/>
          <w:szCs w:val="22"/>
        </w:rPr>
        <w:t xml:space="preserve">,- Kč,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</w:t>
      </w:r>
      <w:r w:rsidR="000F78E7" w:rsidRPr="00640F12">
        <w:rPr>
          <w:rFonts w:ascii="Arial" w:hAnsi="Arial" w:cs="Arial"/>
          <w:sz w:val="22"/>
          <w:szCs w:val="22"/>
        </w:rPr>
        <w:t xml:space="preserve">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6.500</w:t>
      </w:r>
      <w:r w:rsidR="000F78E7" w:rsidRPr="00640F12">
        <w:rPr>
          <w:rFonts w:ascii="Arial" w:hAnsi="Arial" w:cs="Arial"/>
          <w:sz w:val="22"/>
          <w:szCs w:val="22"/>
        </w:rPr>
        <w:t xml:space="preserve">,- </w:t>
      </w:r>
      <w:r w:rsidR="003C2C5D" w:rsidRPr="00640F12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(bez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3C2C5D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7.000</w:t>
      </w:r>
      <w:r w:rsidR="003C2C5D" w:rsidRPr="00640F12">
        <w:rPr>
          <w:rFonts w:ascii="Arial" w:hAnsi="Arial" w:cs="Arial"/>
          <w:sz w:val="22"/>
          <w:szCs w:val="22"/>
        </w:rPr>
        <w:t>,- Kč/1 smlouva</w:t>
      </w:r>
      <w:r w:rsidR="000F78E7" w:rsidRPr="00640F12">
        <w:rPr>
          <w:rFonts w:ascii="Arial" w:hAnsi="Arial" w:cs="Arial"/>
          <w:sz w:val="22"/>
          <w:szCs w:val="22"/>
        </w:rPr>
        <w:t>.</w:t>
      </w:r>
    </w:p>
    <w:p w14:paraId="65EF3095" w14:textId="53B09157" w:rsidR="000240C9" w:rsidRPr="00640F12" w:rsidRDefault="000240C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5246D3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144613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nemovitostí.</w:t>
      </w:r>
      <w:r w:rsidR="00A60517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Správní poplatek za </w:t>
      </w:r>
      <w:r w:rsidR="005066AA" w:rsidRPr="005066AA">
        <w:rPr>
          <w:rFonts w:ascii="Arial" w:hAnsi="Arial" w:cs="Arial"/>
          <w:sz w:val="22"/>
          <w:szCs w:val="22"/>
        </w:rPr>
        <w:t>zahájení správního řízení vedeného příslušným katastrálním úřadem hradí 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2427BF9D" w14:textId="462408B3" w:rsidR="0070723A" w:rsidRPr="00640F12" w:rsidRDefault="00E06D8D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220599">
        <w:rPr>
          <w:rFonts w:ascii="Arial" w:hAnsi="Arial" w:cs="Arial"/>
          <w:sz w:val="22"/>
          <w:szCs w:val="22"/>
        </w:rPr>
        <w:t>11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5246D3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246D3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5246D3">
        <w:rPr>
          <w:rFonts w:ascii="Arial" w:hAnsi="Arial" w:cs="Arial"/>
          <w:sz w:val="22"/>
          <w:szCs w:val="22"/>
        </w:rPr>
        <w:t>však nesmí dojít</w:t>
      </w:r>
      <w:r w:rsidR="005246D3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ke změně jeho uložení v horizontální ose. </w:t>
      </w:r>
    </w:p>
    <w:p w14:paraId="23EEAAB3" w14:textId="77777777" w:rsidR="0070723A" w:rsidRPr="00640F12" w:rsidRDefault="0070723A" w:rsidP="0070723A">
      <w:pPr>
        <w:ind w:left="360"/>
        <w:rPr>
          <w:rFonts w:ascii="Arial" w:hAnsi="Arial" w:cs="Arial"/>
          <w:sz w:val="22"/>
          <w:szCs w:val="22"/>
        </w:rPr>
      </w:pPr>
    </w:p>
    <w:p w14:paraId="16176581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1A9DBC7D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3054CAD9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3FF6AC9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7547FAD0" w14:textId="09E94278" w:rsidR="00377FDA" w:rsidRPr="00640F12" w:rsidRDefault="00377FDA" w:rsidP="002A5794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lastRenderedPageBreak/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="00144613">
        <w:rPr>
          <w:szCs w:val="22"/>
        </w:rPr>
        <w:t>ve smlouvě o dílo záruku za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656DF539" w14:textId="77777777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466568B1" w14:textId="41978BFC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</w:t>
      </w:r>
      <w:r w:rsidR="00144613">
        <w:rPr>
          <w:rFonts w:ascii="Arial" w:hAnsi="Arial" w:cs="Arial"/>
          <w:sz w:val="22"/>
          <w:szCs w:val="22"/>
        </w:rPr>
        <w:t>ky PZ je vlastník PZ povinen to </w:t>
      </w:r>
      <w:r w:rsidRPr="00640F12">
        <w:rPr>
          <w:rFonts w:ascii="Arial" w:hAnsi="Arial" w:cs="Arial"/>
          <w:sz w:val="22"/>
          <w:szCs w:val="22"/>
        </w:rPr>
        <w:t>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B6E381A" w14:textId="14BE66C8" w:rsidR="003D6038" w:rsidRPr="00640F12" w:rsidRDefault="003D6038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</w:t>
      </w:r>
      <w:r w:rsidR="00144613">
        <w:rPr>
          <w:rFonts w:ascii="Arial" w:hAnsi="Arial" w:cs="Arial"/>
          <w:sz w:val="22"/>
          <w:szCs w:val="22"/>
        </w:rPr>
        <w:t>pečí škody na přeložce PZ až do </w:t>
      </w:r>
      <w:r w:rsidRPr="00640F12">
        <w:rPr>
          <w:rFonts w:ascii="Arial" w:hAnsi="Arial" w:cs="Arial"/>
          <w:sz w:val="22"/>
          <w:szCs w:val="22"/>
        </w:rPr>
        <w:t>dne jejího protokolárního předání a převzetí.</w:t>
      </w:r>
    </w:p>
    <w:p w14:paraId="611345BE" w14:textId="77777777" w:rsidR="00903230" w:rsidRDefault="00903230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12DADF7F" w14:textId="77777777" w:rsidR="00160863" w:rsidRPr="0025283D" w:rsidRDefault="00160863" w:rsidP="003D6038"/>
    <w:p w14:paraId="16936A6E" w14:textId="1B24B7C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  <w:r w:rsidR="00AE1495">
        <w:rPr>
          <w:rFonts w:ascii="Arial" w:hAnsi="Arial" w:cs="Arial"/>
          <w:b/>
          <w:color w:val="000000"/>
        </w:rPr>
        <w:t>.</w:t>
      </w:r>
    </w:p>
    <w:p w14:paraId="3066B8A2" w14:textId="7777777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>Registr smluv</w:t>
      </w:r>
    </w:p>
    <w:p w14:paraId="057E18AF" w14:textId="111D8391" w:rsidR="00733608" w:rsidRPr="003123C5" w:rsidRDefault="00733608" w:rsidP="002C655F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AE62B05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F195B">
        <w:rPr>
          <w:rFonts w:ascii="Arial" w:hAnsi="Arial" w:cs="Arial"/>
          <w:sz w:val="22"/>
          <w:szCs w:val="22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B0D2F5C" w14:textId="77777777" w:rsidR="0078140E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Smlouvu bez zbytečného od</w:t>
      </w:r>
      <w:r w:rsidRPr="00CB7A6A">
        <w:rPr>
          <w:rFonts w:ascii="Arial" w:hAnsi="Arial" w:cs="Arial"/>
          <w:sz w:val="22"/>
          <w:szCs w:val="22"/>
        </w:rPr>
        <w:t>kladu uveřejní vlastník PZ. Stavebník</w:t>
      </w:r>
      <w:r w:rsidRPr="00245EAD">
        <w:rPr>
          <w:rFonts w:ascii="Arial" w:hAnsi="Arial" w:cs="Arial"/>
          <w:sz w:val="22"/>
          <w:szCs w:val="22"/>
        </w:rPr>
        <w:t xml:space="preserve"> zašle před po</w:t>
      </w:r>
      <w:r w:rsidRPr="00CB7A6A">
        <w:rPr>
          <w:rFonts w:ascii="Arial" w:hAnsi="Arial" w:cs="Arial"/>
          <w:sz w:val="22"/>
          <w:szCs w:val="22"/>
        </w:rPr>
        <w:t>dpisem smlouvy vlastníkovi PZ</w:t>
      </w:r>
      <w:r w:rsidRPr="00245EAD">
        <w:rPr>
          <w:rFonts w:ascii="Arial" w:hAnsi="Arial" w:cs="Arial"/>
          <w:sz w:val="22"/>
          <w:szCs w:val="22"/>
        </w:rPr>
        <w:t xml:space="preserve"> údaje, které požaduje před uveřejněním smlouvy v registru smluv znečitelnit.</w:t>
      </w:r>
    </w:p>
    <w:p w14:paraId="43DEE6BD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Smluvní strany prohlašují, že tato smlouva neobsahuje obchodní tajemství, jež by nebylo možné uveřejnit.</w:t>
      </w:r>
    </w:p>
    <w:p w14:paraId="2F834B70" w14:textId="77777777" w:rsidR="00903230" w:rsidRPr="0098630B" w:rsidRDefault="00903230" w:rsidP="0090323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435D1A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52706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52706">
        <w:rPr>
          <w:rFonts w:ascii="Arial" w:hAnsi="Arial" w:cs="Arial"/>
          <w:b/>
          <w:color w:val="000000"/>
        </w:rPr>
        <w:t>.</w:t>
      </w:r>
    </w:p>
    <w:p w14:paraId="325777F3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 w:rsidRPr="00052706">
        <w:rPr>
          <w:rFonts w:ascii="Arial" w:hAnsi="Arial" w:cs="Arial"/>
          <w:b/>
          <w:color w:val="000000"/>
        </w:rPr>
        <w:t>Ochrana osobních údajů</w:t>
      </w:r>
    </w:p>
    <w:p w14:paraId="60A18662" w14:textId="77777777" w:rsidR="00733608" w:rsidRPr="00052706" w:rsidRDefault="00733608" w:rsidP="00733608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1CA47A87" w14:textId="2560683C" w:rsidR="009C77E3" w:rsidRPr="002C655F" w:rsidRDefault="009C77E3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10475924"/>
      <w:r w:rsidRPr="0005270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lastník PZ </w:t>
      </w:r>
      <w:r w:rsidRPr="00052706">
        <w:rPr>
          <w:rFonts w:ascii="Arial" w:hAnsi="Arial" w:cs="Arial"/>
          <w:sz w:val="22"/>
          <w:szCs w:val="22"/>
        </w:rPr>
        <w:t>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</w:t>
      </w:r>
      <w:r>
        <w:rPr>
          <w:rFonts w:ascii="Arial" w:hAnsi="Arial" w:cs="Arial"/>
          <w:sz w:val="22"/>
          <w:szCs w:val="22"/>
        </w:rPr>
        <w:t>řejněny na webové stránce vlastníka PZ</w:t>
      </w:r>
      <w:r w:rsidRPr="00052706">
        <w:rPr>
          <w:rFonts w:ascii="Arial" w:hAnsi="Arial" w:cs="Arial"/>
          <w:sz w:val="22"/>
          <w:szCs w:val="22"/>
        </w:rPr>
        <w:t xml:space="preserve"> (www.gasnet.cz/</w:t>
      </w:r>
      <w:proofErr w:type="spellStart"/>
      <w:r w:rsidRPr="00052706">
        <w:rPr>
          <w:rFonts w:ascii="Arial" w:hAnsi="Arial" w:cs="Arial"/>
          <w:sz w:val="22"/>
          <w:szCs w:val="22"/>
        </w:rPr>
        <w:t>cs</w:t>
      </w:r>
      <w:proofErr w:type="spellEnd"/>
      <w:r w:rsidRPr="00052706">
        <w:rPr>
          <w:rFonts w:ascii="Arial" w:hAnsi="Arial" w:cs="Arial"/>
          <w:sz w:val="22"/>
          <w:szCs w:val="22"/>
        </w:rPr>
        <w:t>/informace-o-</w:t>
      </w:r>
      <w:proofErr w:type="spellStart"/>
      <w:r w:rsidRPr="00052706">
        <w:rPr>
          <w:rFonts w:ascii="Arial" w:hAnsi="Arial" w:cs="Arial"/>
          <w:sz w:val="22"/>
          <w:szCs w:val="22"/>
        </w:rPr>
        <w:t>zpracovani</w:t>
      </w:r>
      <w:proofErr w:type="spellEnd"/>
      <w:r w:rsidRPr="00052706">
        <w:rPr>
          <w:rFonts w:ascii="Arial" w:hAnsi="Arial" w:cs="Arial"/>
          <w:sz w:val="22"/>
          <w:szCs w:val="22"/>
        </w:rPr>
        <w:t>-</w:t>
      </w:r>
      <w:proofErr w:type="spellStart"/>
      <w:r w:rsidRPr="00052706">
        <w:rPr>
          <w:rFonts w:ascii="Arial" w:hAnsi="Arial" w:cs="Arial"/>
          <w:sz w:val="22"/>
          <w:szCs w:val="22"/>
        </w:rPr>
        <w:t>osobnich-udaju</w:t>
      </w:r>
      <w:proofErr w:type="spellEnd"/>
      <w:r w:rsidRPr="00052706">
        <w:rPr>
          <w:rFonts w:ascii="Arial" w:hAnsi="Arial" w:cs="Arial"/>
          <w:sz w:val="22"/>
          <w:szCs w:val="22"/>
        </w:rPr>
        <w:t>) a při uzavírání smlouvy nebo kdykoli v průběhu jejího trvání budou subjektu údajů poskytnuty na jeho vyžádání, adresované písem</w:t>
      </w:r>
      <w:r>
        <w:rPr>
          <w:rFonts w:ascii="Arial" w:hAnsi="Arial" w:cs="Arial"/>
          <w:sz w:val="22"/>
          <w:szCs w:val="22"/>
        </w:rPr>
        <w:t>ně na adresu sídla vlastníka PZ</w:t>
      </w:r>
      <w:r w:rsidRPr="00052706">
        <w:rPr>
          <w:rFonts w:ascii="Arial" w:hAnsi="Arial" w:cs="Arial"/>
          <w:sz w:val="22"/>
          <w:szCs w:val="22"/>
        </w:rPr>
        <w:t xml:space="preserve"> nebo do jeho datové schránky ID </w:t>
      </w:r>
      <w:proofErr w:type="spellStart"/>
      <w:r w:rsidRPr="00052706">
        <w:rPr>
          <w:rFonts w:ascii="Arial" w:hAnsi="Arial" w:cs="Arial"/>
          <w:sz w:val="22"/>
          <w:szCs w:val="22"/>
        </w:rPr>
        <w:t>rdxzhzt</w:t>
      </w:r>
      <w:proofErr w:type="spellEnd"/>
      <w:r w:rsidRPr="00052706">
        <w:rPr>
          <w:rFonts w:ascii="Arial" w:hAnsi="Arial" w:cs="Arial"/>
          <w:sz w:val="22"/>
          <w:szCs w:val="22"/>
        </w:rPr>
        <w:t>.</w:t>
      </w:r>
    </w:p>
    <w:p w14:paraId="11C1E420" w14:textId="2AEDFA61" w:rsidR="009C77E3" w:rsidRPr="002C655F" w:rsidRDefault="00733608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655F">
        <w:rPr>
          <w:rFonts w:ascii="Arial" w:hAnsi="Arial" w:cs="Arial"/>
          <w:color w:val="000000" w:themeColor="text1"/>
          <w:sz w:val="22"/>
          <w:szCs w:val="22"/>
        </w:rPr>
        <w:t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</w:t>
      </w:r>
    </w:p>
    <w:p w14:paraId="2FAD4707" w14:textId="54D6F89B" w:rsidR="00733608" w:rsidRPr="002C655F" w:rsidRDefault="00733608" w:rsidP="002C655F">
      <w:pPr>
        <w:ind w:left="6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8AA0D3" w14:textId="77777777" w:rsidR="00733608" w:rsidRPr="002C655F" w:rsidRDefault="00733608" w:rsidP="00733608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7AB1EB0E" w14:textId="77777777" w:rsidR="00903230" w:rsidRDefault="00903230" w:rsidP="003D6038">
      <w:pPr>
        <w:jc w:val="center"/>
        <w:rPr>
          <w:rFonts w:ascii="Arial" w:hAnsi="Arial" w:cs="Arial"/>
          <w:b/>
          <w:color w:val="000000"/>
        </w:rPr>
      </w:pPr>
    </w:p>
    <w:p w14:paraId="621F9C76" w14:textId="77777777" w:rsidR="00733608" w:rsidRDefault="00733608" w:rsidP="003D6038">
      <w:pPr>
        <w:jc w:val="center"/>
        <w:rPr>
          <w:rFonts w:ascii="Arial" w:hAnsi="Arial" w:cs="Arial"/>
          <w:b/>
          <w:color w:val="000000"/>
        </w:rPr>
      </w:pPr>
    </w:p>
    <w:p w14:paraId="71BCC1AF" w14:textId="32701E85" w:rsidR="003D6038" w:rsidRPr="0025283D" w:rsidRDefault="00193CAC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 xml:space="preserve">. </w:t>
      </w:r>
      <w:r w:rsidR="00733608">
        <w:rPr>
          <w:rFonts w:ascii="Arial" w:hAnsi="Arial" w:cs="Arial"/>
          <w:b/>
          <w:color w:val="000000"/>
        </w:rPr>
        <w:t>IX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715F396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6D2A14BC" w14:textId="77777777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026A54EE" w14:textId="77777777" w:rsidR="009D62BD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Tuto smlouvu lze měnit nebo doplňovat pouze písemnými dodatky podepsanými oprávněnými zástupci smluvních stran.</w:t>
      </w:r>
    </w:p>
    <w:p w14:paraId="3AC0097C" w14:textId="43458344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144613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7438A45F" w14:textId="13EA9C73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144613">
        <w:rPr>
          <w:rFonts w:ascii="Arial" w:hAnsi="Arial" w:cs="Arial"/>
          <w:sz w:val="22"/>
          <w:szCs w:val="22"/>
        </w:rPr>
        <w:t>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3C06D7E8" w14:textId="1DF26AC4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193CAC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D95C1CF" w14:textId="5C7B9BB8" w:rsidR="003D6038" w:rsidRPr="00640F12" w:rsidRDefault="00537E82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2553F7">
        <w:rPr>
          <w:rFonts w:ascii="Arial" w:hAnsi="Arial" w:cs="Arial"/>
          <w:sz w:val="22"/>
          <w:szCs w:val="22"/>
        </w:rPr>
        <w:t xml:space="preserve">s náležitostmi </w:t>
      </w:r>
      <w:r w:rsidR="001576D6" w:rsidRPr="00640F12">
        <w:rPr>
          <w:rFonts w:ascii="Arial" w:hAnsi="Arial" w:cs="Arial"/>
          <w:sz w:val="22"/>
          <w:szCs w:val="22"/>
        </w:rPr>
        <w:t xml:space="preserve">podle </w:t>
      </w:r>
      <w:r w:rsidR="002553F7">
        <w:rPr>
          <w:rFonts w:ascii="Arial" w:hAnsi="Arial" w:cs="Arial"/>
          <w:sz w:val="22"/>
          <w:szCs w:val="22"/>
        </w:rPr>
        <w:t xml:space="preserve">zákona č. 89/2012 Sb. </w:t>
      </w:r>
      <w:r w:rsidR="006F5856" w:rsidRPr="00640F12">
        <w:rPr>
          <w:rFonts w:ascii="Arial" w:hAnsi="Arial" w:cs="Arial"/>
          <w:sz w:val="22"/>
          <w:szCs w:val="22"/>
        </w:rPr>
        <w:t>občansk</w:t>
      </w:r>
      <w:r w:rsidR="002553F7">
        <w:rPr>
          <w:rFonts w:ascii="Arial" w:hAnsi="Arial" w:cs="Arial"/>
          <w:sz w:val="22"/>
          <w:szCs w:val="22"/>
        </w:rPr>
        <w:t>ý</w:t>
      </w:r>
      <w:r w:rsidR="006F5856" w:rsidRPr="00640F12">
        <w:rPr>
          <w:rFonts w:ascii="Arial" w:hAnsi="Arial" w:cs="Arial"/>
          <w:sz w:val="22"/>
          <w:szCs w:val="22"/>
        </w:rPr>
        <w:t xml:space="preserve"> zákoník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a </w:t>
      </w:r>
      <w:r w:rsidR="0025283D" w:rsidRPr="00640F12">
        <w:rPr>
          <w:rFonts w:ascii="Arial" w:hAnsi="Arial" w:cs="Arial"/>
          <w:sz w:val="22"/>
          <w:szCs w:val="22"/>
        </w:rPr>
        <w:t>energetick</w:t>
      </w:r>
      <w:r w:rsidR="006F5856" w:rsidRPr="00640F12">
        <w:rPr>
          <w:rFonts w:ascii="Arial" w:hAnsi="Arial" w:cs="Arial"/>
          <w:sz w:val="22"/>
          <w:szCs w:val="22"/>
        </w:rPr>
        <w:t>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25391CEF" w14:textId="1D39EE11" w:rsidR="00AD7B6A" w:rsidRPr="00640F12" w:rsidRDefault="00AD7B6A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640F12">
        <w:rPr>
          <w:rFonts w:ascii="Arial" w:hAnsi="Arial" w:cs="Arial"/>
          <w:sz w:val="22"/>
          <w:szCs w:val="22"/>
        </w:rPr>
        <w:t>.</w:t>
      </w:r>
    </w:p>
    <w:p w14:paraId="14B6C882" w14:textId="22FAFDE3" w:rsidR="00D62EB1" w:rsidRDefault="00D62EB1" w:rsidP="002A5794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dnem podpisu oběma smluvními stranami</w:t>
      </w:r>
      <w:r w:rsidR="00AE1495">
        <w:rPr>
          <w:rFonts w:ascii="Arial" w:hAnsi="Arial" w:cs="Arial"/>
          <w:sz w:val="22"/>
          <w:szCs w:val="22"/>
        </w:rPr>
        <w:t xml:space="preserve"> </w:t>
      </w:r>
      <w:r w:rsidR="00AE1495" w:rsidRPr="00640F12">
        <w:rPr>
          <w:rFonts w:ascii="Arial" w:hAnsi="Arial" w:cs="Arial"/>
          <w:sz w:val="22"/>
          <w:szCs w:val="22"/>
        </w:rPr>
        <w:t>a účinnosti dnem</w:t>
      </w:r>
      <w:r w:rsidR="00AE1495">
        <w:rPr>
          <w:rFonts w:ascii="Arial" w:hAnsi="Arial" w:cs="Arial"/>
          <w:sz w:val="22"/>
          <w:szCs w:val="22"/>
        </w:rPr>
        <w:t xml:space="preserve"> uveřejnění v registru smluv</w:t>
      </w:r>
      <w:r w:rsidRPr="00640F12">
        <w:rPr>
          <w:rFonts w:ascii="Arial" w:hAnsi="Arial" w:cs="Arial"/>
          <w:sz w:val="22"/>
          <w:szCs w:val="22"/>
        </w:rPr>
        <w:t>.</w:t>
      </w:r>
    </w:p>
    <w:p w14:paraId="39A1ECCD" w14:textId="4124357F" w:rsidR="00173459" w:rsidRPr="00DB37EA" w:rsidRDefault="00DB37EA" w:rsidP="00DB37EA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B37EA">
        <w:rPr>
          <w:rFonts w:ascii="Arial" w:hAnsi="Arial" w:cs="Arial"/>
          <w:sz w:val="22"/>
          <w:szCs w:val="22"/>
        </w:rPr>
        <w:t xml:space="preserve">Smlouva se uzavírá na dobu pěti let s tím, že bude-li stavba přeložky PZ zahájena v době platnosti této smlouvy, platnost této smlouvy neskončí dříve, než bude stavba přeložky PZ dokončena dle podmínek této smlouvy, za což se považuje mj. i splnění závazků dle čl. V. této smlouvy. Nebude-li stavba přeložky PZ zahájena v době platnosti této smlouvy, prodlužuje se platnost této smlouvy o pět let. Stavebník není oprávněn zahájit realizaci přeložky PZ bez platné smlouvy o zajištění přeložky plynárenského zařízení. Tímto ustanovením nejsou dotčeny závazky, které ze své povahy mají trvat i po uplynutí platnosti této smlouvy.  </w:t>
      </w:r>
      <w:r w:rsidR="00BE76A4" w:rsidRPr="00DB37EA">
        <w:rPr>
          <w:rFonts w:ascii="Arial" w:hAnsi="Arial" w:cs="Arial"/>
          <w:sz w:val="22"/>
          <w:szCs w:val="22"/>
        </w:rPr>
        <w:t xml:space="preserve">   </w:t>
      </w:r>
      <w:r w:rsidR="00071299" w:rsidRPr="00DB37EA">
        <w:rPr>
          <w:rFonts w:ascii="Arial" w:hAnsi="Arial" w:cs="Arial"/>
          <w:sz w:val="22"/>
          <w:szCs w:val="22"/>
        </w:rPr>
        <w:t xml:space="preserve"> </w:t>
      </w:r>
    </w:p>
    <w:p w14:paraId="140638B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DBB49FB" w14:textId="77777777" w:rsidR="00B47882" w:rsidRPr="0025283D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511F92D" w14:textId="77777777" w:rsidR="003D6038" w:rsidRPr="00640F12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3D9108C4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000A23BE" w14:textId="77777777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DD04AF">
        <w:rPr>
          <w:color w:val="000000"/>
          <w:sz w:val="20"/>
          <w:szCs w:val="20"/>
        </w:rPr>
        <w:t xml:space="preserve"> ………,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Pr="00EC6F48">
        <w:rPr>
          <w:color w:val="000000"/>
          <w:sz w:val="20"/>
          <w:szCs w:val="20"/>
        </w:rPr>
        <w:t xml:space="preserve">                                           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DD04AF">
        <w:rPr>
          <w:color w:val="000000"/>
          <w:sz w:val="20"/>
          <w:szCs w:val="20"/>
        </w:rPr>
        <w:t>………,</w:t>
      </w:r>
      <w:r w:rsidRPr="00EC6F48">
        <w:rPr>
          <w:color w:val="000000"/>
          <w:sz w:val="20"/>
          <w:szCs w:val="20"/>
        </w:rPr>
        <w:t xml:space="preserve">  dne</w:t>
      </w:r>
      <w:r w:rsidR="00DD04AF">
        <w:rPr>
          <w:color w:val="000000"/>
          <w:sz w:val="20"/>
          <w:szCs w:val="20"/>
        </w:rPr>
        <w:t xml:space="preserve"> ……</w:t>
      </w:r>
      <w:proofErr w:type="gramStart"/>
      <w:r w:rsidR="00DD04AF">
        <w:rPr>
          <w:color w:val="000000"/>
          <w:sz w:val="20"/>
          <w:szCs w:val="20"/>
        </w:rPr>
        <w:t>…..</w:t>
      </w:r>
      <w:proofErr w:type="gramEnd"/>
    </w:p>
    <w:p w14:paraId="2009F00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3849819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6FCCDC0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5B6E276C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BEB50FF" w14:textId="281378AE" w:rsidR="003D6038" w:rsidRPr="0025283D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……………………………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 ……………………………………</w:t>
      </w:r>
    </w:p>
    <w:p w14:paraId="7D8F1CA7" w14:textId="7F2A19F8" w:rsidR="00AB7944" w:rsidRPr="004B15F7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772CB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3772CB">
        <w:rPr>
          <w:rFonts w:ascii="Arial" w:hAnsi="Arial" w:cs="Arial"/>
          <w:sz w:val="20"/>
          <w:szCs w:val="20"/>
        </w:rPr>
        <w:t>xxx</w:t>
      </w:r>
      <w:proofErr w:type="spellEnd"/>
      <w:r w:rsidR="00891D8B" w:rsidRPr="004B15F7">
        <w:rPr>
          <w:rFonts w:ascii="Arial" w:hAnsi="Arial" w:cs="Arial"/>
          <w:sz w:val="20"/>
          <w:szCs w:val="20"/>
        </w:rPr>
        <w:t xml:space="preserve">       </w:t>
      </w:r>
    </w:p>
    <w:p w14:paraId="764B2096" w14:textId="2D40A2F7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42061">
        <w:rPr>
          <w:rFonts w:ascii="Arial" w:hAnsi="Arial" w:cs="Arial"/>
          <w:sz w:val="20"/>
          <w:szCs w:val="20"/>
        </w:rPr>
        <w:tab/>
      </w:r>
      <w:r w:rsidR="004B15F7">
        <w:rPr>
          <w:rFonts w:ascii="Arial" w:hAnsi="Arial" w:cs="Arial"/>
          <w:color w:val="000000"/>
          <w:sz w:val="20"/>
          <w:szCs w:val="20"/>
        </w:rPr>
        <w:tab/>
      </w:r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4206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FB51396" w14:textId="77777777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</w:p>
    <w:p w14:paraId="3F9DD3CC" w14:textId="24D30025" w:rsidR="00891D8B" w:rsidRPr="00891D8B" w:rsidRDefault="00FE61F3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</w:p>
    <w:p w14:paraId="05D7D0E8" w14:textId="3F015A4A" w:rsidR="00891D8B" w:rsidRDefault="004B15F7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91D8B">
        <w:rPr>
          <w:rFonts w:ascii="Arial" w:hAnsi="Arial" w:cs="Arial"/>
          <w:color w:val="000000"/>
          <w:sz w:val="22"/>
          <w:szCs w:val="22"/>
        </w:rPr>
        <w:t>.</w:t>
      </w:r>
      <w:r w:rsidR="003D6038" w:rsidRPr="0025283D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891D8B">
        <w:rPr>
          <w:rFonts w:ascii="Arial" w:hAnsi="Arial" w:cs="Arial"/>
          <w:color w:val="000000"/>
          <w:sz w:val="22"/>
          <w:szCs w:val="22"/>
        </w:rPr>
        <w:t>..</w:t>
      </w:r>
    </w:p>
    <w:p w14:paraId="2D2591CD" w14:textId="23B8B912" w:rsidR="00846D28" w:rsidRDefault="00846D28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="003772CB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359E3263" w14:textId="0BCEC9C7" w:rsidR="003D6038" w:rsidRPr="00891D8B" w:rsidRDefault="00846D28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bookmarkStart w:id="1" w:name="_GoBack"/>
      <w:bookmarkEnd w:id="1"/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  <w:r w:rsidR="003D6038" w:rsidRPr="0025283D">
        <w:rPr>
          <w:rFonts w:ascii="Arial" w:hAnsi="Arial" w:cs="Arial"/>
          <w:sz w:val="22"/>
          <w:szCs w:val="22"/>
        </w:rPr>
        <w:t xml:space="preserve">             </w:t>
      </w:r>
    </w:p>
    <w:p w14:paraId="761349AE" w14:textId="77777777" w:rsidR="005246D3" w:rsidRPr="00640F12" w:rsidRDefault="005246D3" w:rsidP="004B15F7">
      <w:pPr>
        <w:tabs>
          <w:tab w:val="center" w:pos="1701"/>
          <w:tab w:val="center" w:pos="6804"/>
        </w:tabs>
        <w:spacing w:before="60"/>
        <w:rPr>
          <w:sz w:val="22"/>
          <w:szCs w:val="22"/>
        </w:rPr>
      </w:pPr>
    </w:p>
    <w:sectPr w:rsidR="005246D3" w:rsidRPr="00640F12" w:rsidSect="00F84A2A">
      <w:footerReference w:type="even" r:id="rId10"/>
      <w:footerReference w:type="default" r:id="rId11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26F1" w14:textId="77777777" w:rsidR="0097589A" w:rsidRDefault="0097589A">
      <w:r>
        <w:separator/>
      </w:r>
    </w:p>
  </w:endnote>
  <w:endnote w:type="continuationSeparator" w:id="0">
    <w:p w14:paraId="3AA3C6B0" w14:textId="77777777" w:rsidR="0097589A" w:rsidRDefault="0097589A">
      <w:r>
        <w:continuationSeparator/>
      </w:r>
    </w:p>
  </w:endnote>
  <w:endnote w:type="continuationNotice" w:id="1">
    <w:p w14:paraId="7779DC69" w14:textId="77777777" w:rsidR="0097589A" w:rsidRDefault="00975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A34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5B4BC3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478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31B6">
      <w:rPr>
        <w:rStyle w:val="slostrnky"/>
        <w:noProof/>
      </w:rPr>
      <w:t>2</w:t>
    </w:r>
    <w:r>
      <w:rPr>
        <w:rStyle w:val="slostrnky"/>
      </w:rPr>
      <w:fldChar w:fldCharType="end"/>
    </w:r>
  </w:p>
  <w:p w14:paraId="23DB3BE5" w14:textId="77777777" w:rsidR="00820B6E" w:rsidRDefault="00820B6E">
    <w:pPr>
      <w:pStyle w:val="Zpat"/>
    </w:pPr>
  </w:p>
  <w:p w14:paraId="5D259165" w14:textId="3895216E" w:rsidR="00855A67" w:rsidRDefault="00855A67">
    <w:pPr>
      <w:pStyle w:val="Zpat"/>
    </w:pPr>
    <w:r>
      <w:tab/>
    </w:r>
    <w:r>
      <w:tab/>
    </w:r>
    <w:r w:rsidR="00C31B4B" w:rsidRPr="00C31B4B">
      <w:t>9418001359</w:t>
    </w:r>
    <w:r>
      <w:t>/00</w:t>
    </w:r>
    <w:r w:rsidR="00543474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89F68" w14:textId="77777777" w:rsidR="0097589A" w:rsidRDefault="0097589A">
      <w:r>
        <w:separator/>
      </w:r>
    </w:p>
  </w:footnote>
  <w:footnote w:type="continuationSeparator" w:id="0">
    <w:p w14:paraId="66F2EC83" w14:textId="77777777" w:rsidR="0097589A" w:rsidRDefault="0097589A">
      <w:r>
        <w:continuationSeparator/>
      </w:r>
    </w:p>
  </w:footnote>
  <w:footnote w:type="continuationNotice" w:id="1">
    <w:p w14:paraId="0ECC0775" w14:textId="77777777" w:rsidR="0097589A" w:rsidRDefault="009758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DA6"/>
    <w:multiLevelType w:val="hybridMultilevel"/>
    <w:tmpl w:val="C5D4CAB2"/>
    <w:lvl w:ilvl="0" w:tplc="94BA10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757025"/>
    <w:multiLevelType w:val="hybridMultilevel"/>
    <w:tmpl w:val="2CDEB08A"/>
    <w:lvl w:ilvl="0" w:tplc="ECF65C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C1079BA"/>
    <w:multiLevelType w:val="hybridMultilevel"/>
    <w:tmpl w:val="369454EA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5"/>
  </w:num>
  <w:num w:numId="7">
    <w:abstractNumId w:val="31"/>
  </w:num>
  <w:num w:numId="8">
    <w:abstractNumId w:val="13"/>
  </w:num>
  <w:num w:numId="9">
    <w:abstractNumId w:val="23"/>
  </w:num>
  <w:num w:numId="10">
    <w:abstractNumId w:val="2"/>
  </w:num>
  <w:num w:numId="11">
    <w:abstractNumId w:val="27"/>
  </w:num>
  <w:num w:numId="12">
    <w:abstractNumId w:val="4"/>
  </w:num>
  <w:num w:numId="13">
    <w:abstractNumId w:val="20"/>
  </w:num>
  <w:num w:numId="14">
    <w:abstractNumId w:val="15"/>
  </w:num>
  <w:num w:numId="15">
    <w:abstractNumId w:val="12"/>
  </w:num>
  <w:num w:numId="16">
    <w:abstractNumId w:val="26"/>
  </w:num>
  <w:num w:numId="17">
    <w:abstractNumId w:val="14"/>
  </w:num>
  <w:num w:numId="18">
    <w:abstractNumId w:val="1"/>
  </w:num>
  <w:num w:numId="19">
    <w:abstractNumId w:val="10"/>
  </w:num>
  <w:num w:numId="20">
    <w:abstractNumId w:val="7"/>
  </w:num>
  <w:num w:numId="21">
    <w:abstractNumId w:val="0"/>
  </w:num>
  <w:num w:numId="22">
    <w:abstractNumId w:val="21"/>
  </w:num>
  <w:num w:numId="23">
    <w:abstractNumId w:val="30"/>
  </w:num>
  <w:num w:numId="24">
    <w:abstractNumId w:val="6"/>
  </w:num>
  <w:num w:numId="25">
    <w:abstractNumId w:val="17"/>
  </w:num>
  <w:num w:numId="26">
    <w:abstractNumId w:val="28"/>
  </w:num>
  <w:num w:numId="27">
    <w:abstractNumId w:val="24"/>
  </w:num>
  <w:num w:numId="28">
    <w:abstractNumId w:val="16"/>
  </w:num>
  <w:num w:numId="29">
    <w:abstractNumId w:val="19"/>
  </w:num>
  <w:num w:numId="30">
    <w:abstractNumId w:val="9"/>
  </w:num>
  <w:num w:numId="31">
    <w:abstractNumId w:val="11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169"/>
    <w:rsid w:val="0002382E"/>
    <w:rsid w:val="000240C9"/>
    <w:rsid w:val="00033BAA"/>
    <w:rsid w:val="000349BA"/>
    <w:rsid w:val="00040CF3"/>
    <w:rsid w:val="0004145D"/>
    <w:rsid w:val="00044C8A"/>
    <w:rsid w:val="000515AC"/>
    <w:rsid w:val="00052C51"/>
    <w:rsid w:val="000574E9"/>
    <w:rsid w:val="000651FC"/>
    <w:rsid w:val="00066154"/>
    <w:rsid w:val="0006762A"/>
    <w:rsid w:val="00071299"/>
    <w:rsid w:val="00095558"/>
    <w:rsid w:val="000A2899"/>
    <w:rsid w:val="000A4557"/>
    <w:rsid w:val="000A64EF"/>
    <w:rsid w:val="000B12A9"/>
    <w:rsid w:val="000C1C29"/>
    <w:rsid w:val="000E1057"/>
    <w:rsid w:val="000E4466"/>
    <w:rsid w:val="000E450F"/>
    <w:rsid w:val="000E786E"/>
    <w:rsid w:val="000F4CBC"/>
    <w:rsid w:val="000F68FC"/>
    <w:rsid w:val="000F78E7"/>
    <w:rsid w:val="000F7B0C"/>
    <w:rsid w:val="001165A7"/>
    <w:rsid w:val="00120569"/>
    <w:rsid w:val="00130B1C"/>
    <w:rsid w:val="00132292"/>
    <w:rsid w:val="0014109B"/>
    <w:rsid w:val="00142061"/>
    <w:rsid w:val="00144613"/>
    <w:rsid w:val="00151BA7"/>
    <w:rsid w:val="001576D6"/>
    <w:rsid w:val="00160863"/>
    <w:rsid w:val="00162373"/>
    <w:rsid w:val="00162511"/>
    <w:rsid w:val="00167310"/>
    <w:rsid w:val="001708C9"/>
    <w:rsid w:val="00170EB9"/>
    <w:rsid w:val="0017155A"/>
    <w:rsid w:val="00173459"/>
    <w:rsid w:val="00174971"/>
    <w:rsid w:val="00175033"/>
    <w:rsid w:val="00177F62"/>
    <w:rsid w:val="00193CAC"/>
    <w:rsid w:val="00195B1E"/>
    <w:rsid w:val="001A0AD7"/>
    <w:rsid w:val="001B5593"/>
    <w:rsid w:val="001C3CC5"/>
    <w:rsid w:val="001D2110"/>
    <w:rsid w:val="001D4F09"/>
    <w:rsid w:val="001E6899"/>
    <w:rsid w:val="001F0A1E"/>
    <w:rsid w:val="001F31B6"/>
    <w:rsid w:val="001F3BB7"/>
    <w:rsid w:val="001F40DE"/>
    <w:rsid w:val="001F4B26"/>
    <w:rsid w:val="001F5FC9"/>
    <w:rsid w:val="001F7BF9"/>
    <w:rsid w:val="002017B1"/>
    <w:rsid w:val="00214AFF"/>
    <w:rsid w:val="00220599"/>
    <w:rsid w:val="00223BA7"/>
    <w:rsid w:val="00225E7E"/>
    <w:rsid w:val="00226414"/>
    <w:rsid w:val="0023000D"/>
    <w:rsid w:val="00230D36"/>
    <w:rsid w:val="00251F21"/>
    <w:rsid w:val="002522F2"/>
    <w:rsid w:val="0025283D"/>
    <w:rsid w:val="00254613"/>
    <w:rsid w:val="002553F7"/>
    <w:rsid w:val="00257713"/>
    <w:rsid w:val="002627D9"/>
    <w:rsid w:val="00262B37"/>
    <w:rsid w:val="00266EC5"/>
    <w:rsid w:val="00273D37"/>
    <w:rsid w:val="002756A3"/>
    <w:rsid w:val="00276837"/>
    <w:rsid w:val="00277F5D"/>
    <w:rsid w:val="002950A8"/>
    <w:rsid w:val="00296590"/>
    <w:rsid w:val="00297711"/>
    <w:rsid w:val="002A5794"/>
    <w:rsid w:val="002C655F"/>
    <w:rsid w:val="002D4A33"/>
    <w:rsid w:val="002D4EDA"/>
    <w:rsid w:val="002E118F"/>
    <w:rsid w:val="002E414A"/>
    <w:rsid w:val="002E4DF6"/>
    <w:rsid w:val="002E6860"/>
    <w:rsid w:val="002F021C"/>
    <w:rsid w:val="002F15AF"/>
    <w:rsid w:val="002F49B7"/>
    <w:rsid w:val="002F5722"/>
    <w:rsid w:val="002F5FC3"/>
    <w:rsid w:val="002F721D"/>
    <w:rsid w:val="003004EA"/>
    <w:rsid w:val="00311915"/>
    <w:rsid w:val="00311D11"/>
    <w:rsid w:val="00312528"/>
    <w:rsid w:val="003245CC"/>
    <w:rsid w:val="0032515B"/>
    <w:rsid w:val="003317A7"/>
    <w:rsid w:val="00332B72"/>
    <w:rsid w:val="00333A05"/>
    <w:rsid w:val="00335C6E"/>
    <w:rsid w:val="0034410E"/>
    <w:rsid w:val="003460AD"/>
    <w:rsid w:val="0036413C"/>
    <w:rsid w:val="00370FCD"/>
    <w:rsid w:val="003772CB"/>
    <w:rsid w:val="0037772E"/>
    <w:rsid w:val="00377D6F"/>
    <w:rsid w:val="00377FDA"/>
    <w:rsid w:val="003942E3"/>
    <w:rsid w:val="00394BB8"/>
    <w:rsid w:val="003A0FF8"/>
    <w:rsid w:val="003B2390"/>
    <w:rsid w:val="003B32E0"/>
    <w:rsid w:val="003B5446"/>
    <w:rsid w:val="003C1424"/>
    <w:rsid w:val="003C2C5D"/>
    <w:rsid w:val="003D6038"/>
    <w:rsid w:val="003E3A4B"/>
    <w:rsid w:val="003F6CE5"/>
    <w:rsid w:val="00405F30"/>
    <w:rsid w:val="00430DA3"/>
    <w:rsid w:val="0043537A"/>
    <w:rsid w:val="00435427"/>
    <w:rsid w:val="004362FD"/>
    <w:rsid w:val="004402A9"/>
    <w:rsid w:val="0044430E"/>
    <w:rsid w:val="00466A13"/>
    <w:rsid w:val="004742E2"/>
    <w:rsid w:val="00486E2A"/>
    <w:rsid w:val="00491668"/>
    <w:rsid w:val="004A09D1"/>
    <w:rsid w:val="004A1ECF"/>
    <w:rsid w:val="004A681F"/>
    <w:rsid w:val="004B15F7"/>
    <w:rsid w:val="004B2974"/>
    <w:rsid w:val="004B4C3A"/>
    <w:rsid w:val="004B5144"/>
    <w:rsid w:val="004C1AA2"/>
    <w:rsid w:val="004C1B5A"/>
    <w:rsid w:val="004C68A5"/>
    <w:rsid w:val="004D0E0A"/>
    <w:rsid w:val="004D0EF6"/>
    <w:rsid w:val="004D4AFB"/>
    <w:rsid w:val="004E15FC"/>
    <w:rsid w:val="004F629D"/>
    <w:rsid w:val="00500820"/>
    <w:rsid w:val="005029DD"/>
    <w:rsid w:val="005066AA"/>
    <w:rsid w:val="005155DF"/>
    <w:rsid w:val="005246D3"/>
    <w:rsid w:val="00524C6B"/>
    <w:rsid w:val="00530A82"/>
    <w:rsid w:val="00535AB3"/>
    <w:rsid w:val="00537E82"/>
    <w:rsid w:val="00540D1F"/>
    <w:rsid w:val="00543474"/>
    <w:rsid w:val="0054454B"/>
    <w:rsid w:val="00556407"/>
    <w:rsid w:val="0055775E"/>
    <w:rsid w:val="0057209C"/>
    <w:rsid w:val="0057324D"/>
    <w:rsid w:val="00576703"/>
    <w:rsid w:val="005800FC"/>
    <w:rsid w:val="0058094F"/>
    <w:rsid w:val="005912F2"/>
    <w:rsid w:val="00591F69"/>
    <w:rsid w:val="00593E18"/>
    <w:rsid w:val="005948D9"/>
    <w:rsid w:val="00594F8A"/>
    <w:rsid w:val="005A2958"/>
    <w:rsid w:val="005A595D"/>
    <w:rsid w:val="005B020C"/>
    <w:rsid w:val="005B6692"/>
    <w:rsid w:val="005B6C08"/>
    <w:rsid w:val="005C09CE"/>
    <w:rsid w:val="005C4C3B"/>
    <w:rsid w:val="005D4EFA"/>
    <w:rsid w:val="005E41E6"/>
    <w:rsid w:val="005E6C32"/>
    <w:rsid w:val="005F2989"/>
    <w:rsid w:val="005F7357"/>
    <w:rsid w:val="00640F12"/>
    <w:rsid w:val="00647EE4"/>
    <w:rsid w:val="006502AC"/>
    <w:rsid w:val="00651805"/>
    <w:rsid w:val="00651B61"/>
    <w:rsid w:val="006626A4"/>
    <w:rsid w:val="00662E8D"/>
    <w:rsid w:val="00673302"/>
    <w:rsid w:val="00677762"/>
    <w:rsid w:val="006778D2"/>
    <w:rsid w:val="00682BA7"/>
    <w:rsid w:val="00683934"/>
    <w:rsid w:val="006841C6"/>
    <w:rsid w:val="00684D69"/>
    <w:rsid w:val="006914B3"/>
    <w:rsid w:val="00692989"/>
    <w:rsid w:val="00692AE9"/>
    <w:rsid w:val="006945CB"/>
    <w:rsid w:val="00694886"/>
    <w:rsid w:val="006A45BF"/>
    <w:rsid w:val="006A5028"/>
    <w:rsid w:val="006B28D8"/>
    <w:rsid w:val="006B5FAF"/>
    <w:rsid w:val="006C1530"/>
    <w:rsid w:val="006C69CB"/>
    <w:rsid w:val="006C7A87"/>
    <w:rsid w:val="006D38A0"/>
    <w:rsid w:val="006D4391"/>
    <w:rsid w:val="006E179F"/>
    <w:rsid w:val="006E4B7D"/>
    <w:rsid w:val="006F1A90"/>
    <w:rsid w:val="006F5856"/>
    <w:rsid w:val="0070723A"/>
    <w:rsid w:val="00707DAF"/>
    <w:rsid w:val="00707DCA"/>
    <w:rsid w:val="00721B95"/>
    <w:rsid w:val="00731E67"/>
    <w:rsid w:val="00733608"/>
    <w:rsid w:val="007426D2"/>
    <w:rsid w:val="00744769"/>
    <w:rsid w:val="0075127F"/>
    <w:rsid w:val="007609E9"/>
    <w:rsid w:val="00762CCE"/>
    <w:rsid w:val="007665B5"/>
    <w:rsid w:val="00776EB7"/>
    <w:rsid w:val="0078140E"/>
    <w:rsid w:val="007D2DC0"/>
    <w:rsid w:val="007D7EAC"/>
    <w:rsid w:val="007E1CFF"/>
    <w:rsid w:val="007E266A"/>
    <w:rsid w:val="007E2F5B"/>
    <w:rsid w:val="007E5670"/>
    <w:rsid w:val="00802CEB"/>
    <w:rsid w:val="00802E9F"/>
    <w:rsid w:val="00812EA0"/>
    <w:rsid w:val="00813A2D"/>
    <w:rsid w:val="008140FC"/>
    <w:rsid w:val="00820B6E"/>
    <w:rsid w:val="00823046"/>
    <w:rsid w:val="008357F1"/>
    <w:rsid w:val="00835B71"/>
    <w:rsid w:val="00842002"/>
    <w:rsid w:val="0084358D"/>
    <w:rsid w:val="00846D28"/>
    <w:rsid w:val="00855A67"/>
    <w:rsid w:val="008637CC"/>
    <w:rsid w:val="00863FAC"/>
    <w:rsid w:val="00871B85"/>
    <w:rsid w:val="008733CF"/>
    <w:rsid w:val="008741D3"/>
    <w:rsid w:val="00891D8B"/>
    <w:rsid w:val="00896C85"/>
    <w:rsid w:val="008A6B8E"/>
    <w:rsid w:val="008A7D34"/>
    <w:rsid w:val="008B12A7"/>
    <w:rsid w:val="008B1D5C"/>
    <w:rsid w:val="008C2C97"/>
    <w:rsid w:val="008D0EE7"/>
    <w:rsid w:val="008D29EF"/>
    <w:rsid w:val="008D3C71"/>
    <w:rsid w:val="008D5C92"/>
    <w:rsid w:val="008E1526"/>
    <w:rsid w:val="008E2D4F"/>
    <w:rsid w:val="008E2EA8"/>
    <w:rsid w:val="008E4D72"/>
    <w:rsid w:val="008E6838"/>
    <w:rsid w:val="008E6CD4"/>
    <w:rsid w:val="008F0040"/>
    <w:rsid w:val="008F1CD6"/>
    <w:rsid w:val="008F47B0"/>
    <w:rsid w:val="008F6209"/>
    <w:rsid w:val="00903230"/>
    <w:rsid w:val="009057C7"/>
    <w:rsid w:val="009105EF"/>
    <w:rsid w:val="00912F06"/>
    <w:rsid w:val="009155B0"/>
    <w:rsid w:val="0091654B"/>
    <w:rsid w:val="009210F5"/>
    <w:rsid w:val="00922466"/>
    <w:rsid w:val="00924EE4"/>
    <w:rsid w:val="00931359"/>
    <w:rsid w:val="00931634"/>
    <w:rsid w:val="00931D23"/>
    <w:rsid w:val="0093370F"/>
    <w:rsid w:val="00934693"/>
    <w:rsid w:val="009449FA"/>
    <w:rsid w:val="00945999"/>
    <w:rsid w:val="00947CED"/>
    <w:rsid w:val="009573F8"/>
    <w:rsid w:val="00966BE6"/>
    <w:rsid w:val="00975457"/>
    <w:rsid w:val="0097589A"/>
    <w:rsid w:val="00976D4E"/>
    <w:rsid w:val="00980A90"/>
    <w:rsid w:val="009813D4"/>
    <w:rsid w:val="00991FBE"/>
    <w:rsid w:val="009954C6"/>
    <w:rsid w:val="0099640D"/>
    <w:rsid w:val="009A0151"/>
    <w:rsid w:val="009A1181"/>
    <w:rsid w:val="009A5AC0"/>
    <w:rsid w:val="009A68A7"/>
    <w:rsid w:val="009B16D8"/>
    <w:rsid w:val="009C2DAF"/>
    <w:rsid w:val="009C77E3"/>
    <w:rsid w:val="009D223F"/>
    <w:rsid w:val="009D62BD"/>
    <w:rsid w:val="009E3A8D"/>
    <w:rsid w:val="009F47B0"/>
    <w:rsid w:val="00A01BE7"/>
    <w:rsid w:val="00A116A1"/>
    <w:rsid w:val="00A13496"/>
    <w:rsid w:val="00A1351C"/>
    <w:rsid w:val="00A253C8"/>
    <w:rsid w:val="00A277B5"/>
    <w:rsid w:val="00A278A1"/>
    <w:rsid w:val="00A31FB3"/>
    <w:rsid w:val="00A434EE"/>
    <w:rsid w:val="00A5123A"/>
    <w:rsid w:val="00A54772"/>
    <w:rsid w:val="00A60517"/>
    <w:rsid w:val="00A70AA9"/>
    <w:rsid w:val="00A7104F"/>
    <w:rsid w:val="00A714CC"/>
    <w:rsid w:val="00A72020"/>
    <w:rsid w:val="00A73316"/>
    <w:rsid w:val="00A7333C"/>
    <w:rsid w:val="00A8258B"/>
    <w:rsid w:val="00A83ACE"/>
    <w:rsid w:val="00A904B0"/>
    <w:rsid w:val="00AA2952"/>
    <w:rsid w:val="00AA5DDE"/>
    <w:rsid w:val="00AB3082"/>
    <w:rsid w:val="00AB7944"/>
    <w:rsid w:val="00AC028B"/>
    <w:rsid w:val="00AC54C0"/>
    <w:rsid w:val="00AC70C9"/>
    <w:rsid w:val="00AD7B6A"/>
    <w:rsid w:val="00AE1495"/>
    <w:rsid w:val="00AE21C1"/>
    <w:rsid w:val="00AE5FBD"/>
    <w:rsid w:val="00B00E94"/>
    <w:rsid w:val="00B053F2"/>
    <w:rsid w:val="00B0610E"/>
    <w:rsid w:val="00B100DE"/>
    <w:rsid w:val="00B106C5"/>
    <w:rsid w:val="00B12560"/>
    <w:rsid w:val="00B14101"/>
    <w:rsid w:val="00B173ED"/>
    <w:rsid w:val="00B24726"/>
    <w:rsid w:val="00B412E1"/>
    <w:rsid w:val="00B4229F"/>
    <w:rsid w:val="00B44148"/>
    <w:rsid w:val="00B4549F"/>
    <w:rsid w:val="00B465D0"/>
    <w:rsid w:val="00B47882"/>
    <w:rsid w:val="00B5338A"/>
    <w:rsid w:val="00B548FC"/>
    <w:rsid w:val="00B570E5"/>
    <w:rsid w:val="00B60693"/>
    <w:rsid w:val="00B64607"/>
    <w:rsid w:val="00B66683"/>
    <w:rsid w:val="00B72FCF"/>
    <w:rsid w:val="00B7374D"/>
    <w:rsid w:val="00B73925"/>
    <w:rsid w:val="00B75E5B"/>
    <w:rsid w:val="00B80686"/>
    <w:rsid w:val="00B80F56"/>
    <w:rsid w:val="00B87264"/>
    <w:rsid w:val="00B874BE"/>
    <w:rsid w:val="00B878C7"/>
    <w:rsid w:val="00B9356C"/>
    <w:rsid w:val="00B95373"/>
    <w:rsid w:val="00BB3E5A"/>
    <w:rsid w:val="00BB6A28"/>
    <w:rsid w:val="00BC428B"/>
    <w:rsid w:val="00BC694A"/>
    <w:rsid w:val="00BD0AC1"/>
    <w:rsid w:val="00BD5252"/>
    <w:rsid w:val="00BE04FC"/>
    <w:rsid w:val="00BE0EAE"/>
    <w:rsid w:val="00BE2E68"/>
    <w:rsid w:val="00BE5C41"/>
    <w:rsid w:val="00BE76A4"/>
    <w:rsid w:val="00C025E3"/>
    <w:rsid w:val="00C03F83"/>
    <w:rsid w:val="00C27C54"/>
    <w:rsid w:val="00C31312"/>
    <w:rsid w:val="00C31B4B"/>
    <w:rsid w:val="00C31D47"/>
    <w:rsid w:val="00C53347"/>
    <w:rsid w:val="00C55B4B"/>
    <w:rsid w:val="00C56311"/>
    <w:rsid w:val="00C62C84"/>
    <w:rsid w:val="00C74F1B"/>
    <w:rsid w:val="00C8237C"/>
    <w:rsid w:val="00C901E2"/>
    <w:rsid w:val="00C9524F"/>
    <w:rsid w:val="00C9771A"/>
    <w:rsid w:val="00CA00E8"/>
    <w:rsid w:val="00CA201B"/>
    <w:rsid w:val="00CA4867"/>
    <w:rsid w:val="00CB027C"/>
    <w:rsid w:val="00CB6910"/>
    <w:rsid w:val="00CC0CC8"/>
    <w:rsid w:val="00CE32FF"/>
    <w:rsid w:val="00CF0A8E"/>
    <w:rsid w:val="00CF12A8"/>
    <w:rsid w:val="00CF3E51"/>
    <w:rsid w:val="00D0060D"/>
    <w:rsid w:val="00D07FEB"/>
    <w:rsid w:val="00D13EE5"/>
    <w:rsid w:val="00D15F95"/>
    <w:rsid w:val="00D23334"/>
    <w:rsid w:val="00D3348D"/>
    <w:rsid w:val="00D43149"/>
    <w:rsid w:val="00D501BD"/>
    <w:rsid w:val="00D52952"/>
    <w:rsid w:val="00D62EB1"/>
    <w:rsid w:val="00D67F99"/>
    <w:rsid w:val="00D714E7"/>
    <w:rsid w:val="00D744AD"/>
    <w:rsid w:val="00D80109"/>
    <w:rsid w:val="00D91B9B"/>
    <w:rsid w:val="00DA7E5E"/>
    <w:rsid w:val="00DB00AD"/>
    <w:rsid w:val="00DB37EA"/>
    <w:rsid w:val="00DB38C6"/>
    <w:rsid w:val="00DC1B05"/>
    <w:rsid w:val="00DC7AF9"/>
    <w:rsid w:val="00DD0459"/>
    <w:rsid w:val="00DD04AF"/>
    <w:rsid w:val="00DD2762"/>
    <w:rsid w:val="00DE187E"/>
    <w:rsid w:val="00DE3234"/>
    <w:rsid w:val="00DE7313"/>
    <w:rsid w:val="00DF3B2F"/>
    <w:rsid w:val="00DF6425"/>
    <w:rsid w:val="00E06D8D"/>
    <w:rsid w:val="00E072F9"/>
    <w:rsid w:val="00E15D29"/>
    <w:rsid w:val="00E20193"/>
    <w:rsid w:val="00E23D8A"/>
    <w:rsid w:val="00E25601"/>
    <w:rsid w:val="00E2740A"/>
    <w:rsid w:val="00E27D66"/>
    <w:rsid w:val="00E30934"/>
    <w:rsid w:val="00E3172A"/>
    <w:rsid w:val="00E334B4"/>
    <w:rsid w:val="00E37936"/>
    <w:rsid w:val="00E42E5B"/>
    <w:rsid w:val="00E47B2D"/>
    <w:rsid w:val="00E60DAB"/>
    <w:rsid w:val="00E64AEF"/>
    <w:rsid w:val="00E70593"/>
    <w:rsid w:val="00E71B93"/>
    <w:rsid w:val="00E75970"/>
    <w:rsid w:val="00E857CE"/>
    <w:rsid w:val="00E91273"/>
    <w:rsid w:val="00E91ABF"/>
    <w:rsid w:val="00E92CC2"/>
    <w:rsid w:val="00EA51E6"/>
    <w:rsid w:val="00EA7867"/>
    <w:rsid w:val="00EA7D68"/>
    <w:rsid w:val="00EB209C"/>
    <w:rsid w:val="00EC06EB"/>
    <w:rsid w:val="00EC2CBE"/>
    <w:rsid w:val="00EC2FD9"/>
    <w:rsid w:val="00EC578D"/>
    <w:rsid w:val="00EC6F48"/>
    <w:rsid w:val="00ED2B2D"/>
    <w:rsid w:val="00ED490A"/>
    <w:rsid w:val="00EE2494"/>
    <w:rsid w:val="00EF4B56"/>
    <w:rsid w:val="00EF6566"/>
    <w:rsid w:val="00F0537E"/>
    <w:rsid w:val="00F12A5D"/>
    <w:rsid w:val="00F14D44"/>
    <w:rsid w:val="00F22519"/>
    <w:rsid w:val="00F32152"/>
    <w:rsid w:val="00F36958"/>
    <w:rsid w:val="00F44055"/>
    <w:rsid w:val="00F4516B"/>
    <w:rsid w:val="00F45B12"/>
    <w:rsid w:val="00F516A2"/>
    <w:rsid w:val="00F5340D"/>
    <w:rsid w:val="00F5347F"/>
    <w:rsid w:val="00F5387F"/>
    <w:rsid w:val="00F56AB3"/>
    <w:rsid w:val="00F6021E"/>
    <w:rsid w:val="00F6750D"/>
    <w:rsid w:val="00F711A5"/>
    <w:rsid w:val="00F75CBB"/>
    <w:rsid w:val="00F77385"/>
    <w:rsid w:val="00F83D06"/>
    <w:rsid w:val="00F84A2A"/>
    <w:rsid w:val="00F90FE4"/>
    <w:rsid w:val="00F94AB4"/>
    <w:rsid w:val="00F95FF2"/>
    <w:rsid w:val="00FA2DD8"/>
    <w:rsid w:val="00FA48D1"/>
    <w:rsid w:val="00FA79C7"/>
    <w:rsid w:val="00FB30D6"/>
    <w:rsid w:val="00FD065D"/>
    <w:rsid w:val="00FE27EE"/>
    <w:rsid w:val="00FE59B4"/>
    <w:rsid w:val="00FE61F3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CEF1"/>
  <w15:docId w15:val="{768549A3-6D36-4B17-AF8E-D393193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rsid w:val="00903230"/>
  </w:style>
  <w:style w:type="paragraph" w:customStyle="1" w:styleId="odrky">
    <w:name w:val="odrážky"/>
    <w:basedOn w:val="Zkladntextodsazen2"/>
    <w:rsid w:val="00F5340D"/>
    <w:pPr>
      <w:numPr>
        <w:numId w:val="32"/>
      </w:numPr>
      <w:tabs>
        <w:tab w:val="clear" w:pos="1985"/>
        <w:tab w:val="num" w:pos="360"/>
        <w:tab w:val="num" w:pos="72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F5340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3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net.cz/cs/evis/prihlaseni/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snet.cz/cs/technicke-dokumen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B70F-00D7-4A37-BCFF-0ED210F0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1</TotalTime>
  <Pages>1</Pages>
  <Words>3323</Words>
  <Characters>19608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Brabec Roman</cp:lastModifiedBy>
  <cp:revision>4</cp:revision>
  <cp:lastPrinted>2019-07-16T06:38:00Z</cp:lastPrinted>
  <dcterms:created xsi:type="dcterms:W3CDTF">2019-10-17T07:39:00Z</dcterms:created>
  <dcterms:modified xsi:type="dcterms:W3CDTF">2019-10-17T07:40:00Z</dcterms:modified>
</cp:coreProperties>
</file>