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k SMLOUVĚ O DÍLO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Vypracování projektové dokumentace</w:t>
        <w:br/>
        <w:t>„III/12934 Humpolec, ul. Nerudova“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333/2018-KSÚSV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598" w:left="1104" w:right="711" w:bottom="1021" w:header="1170" w:footer="59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8" w:left="0" w:right="0" w:bottom="102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01625" distL="12065" distR="0" simplePos="0" relativeHeight="12582937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</wp:posOffset>
                </wp:positionV>
                <wp:extent cx="5147945" cy="48768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7945" cy="4876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589"/>
                              <w:gridCol w:w="6518"/>
                            </w:tblGrid>
                            <w:tr>
                              <w:trPr>
                                <w:tblHeader/>
                                <w:trHeight w:val="26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Vysočiny, příspěvková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Kosovská 1122/16, 586 01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Radovanem Necidem, ředitelem organizace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649999999999999pt;margin-top:1.pt;width:405.35000000000002pt;height:38.399999999999999pt;z-index:-125829375;mso-wrap-distance-left:0.94999999999999996pt;mso-wrap-distance-right:0;mso-wrap-distance-bottom:23.7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589"/>
                        <w:gridCol w:w="6518"/>
                      </w:tblGrid>
                      <w:tr>
                        <w:trPr>
                          <w:tblHeader/>
                          <w:trHeight w:val="26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c>
                      </w:tr>
                      <w:tr>
                        <w:trPr>
                          <w:trHeight w:val="23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organizace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473075</wp:posOffset>
                </wp:positionV>
                <wp:extent cx="3011170" cy="17970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117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.700000000000003pt;margin-top:37.25pt;width:237.09999999999999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3926205</wp:posOffset>
                </wp:positionH>
                <wp:positionV relativeFrom="paragraph">
                  <wp:posOffset>631190</wp:posOffset>
                </wp:positionV>
                <wp:extent cx="481330" cy="17081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e-mail: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9.14999999999998pt;margin-top:49.700000000000003pt;width:37.899999999999999pt;height:13.4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 e-mail: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 Bankovní spojení: Číslo účtu: IČO: DIČ: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tel.: 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Komerční banka, a.s,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00090450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8" w:left="1109" w:right="6860" w:bottom="1021" w:header="0" w:footer="3" w:gutter="0"/>
          <w:cols w:num="2" w:space="720" w:equalWidth="0">
            <w:col w:w="1627" w:space="451"/>
            <w:col w:w="185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CZ00090450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0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158750" distB="0" distL="18415" distR="0" simplePos="0" relativeHeight="1258293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1835150</wp:posOffset>
                </wp:positionV>
                <wp:extent cx="4044950" cy="36258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44950" cy="36258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14"/>
                              <w:gridCol w:w="4555"/>
                            </w:tblGrid>
                            <w:tr>
                              <w:trPr>
                                <w:tblHeader/>
                                <w:trHeight w:val="57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7" w:lineRule="auto"/>
                                    <w:ind w:left="24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88067483 neplátce DPH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6.649999999999999pt;margin-top:144.5pt;width:318.5pt;height:28.550000000000001pt;z-index:-125829373;mso-wrap-distance-left:1.45pt;mso-wrap-distance-top:12.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14"/>
                        <w:gridCol w:w="4555"/>
                      </w:tblGrid>
                      <w:tr>
                        <w:trPr>
                          <w:tblHeader/>
                          <w:trHeight w:val="57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2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88067483 neplátce DPH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1676400</wp:posOffset>
                </wp:positionV>
                <wp:extent cx="509270" cy="18605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účtu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5.200000000000003pt;margin-top:132.pt;width:40.100000000000001pt;height:14.6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účtu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14"/>
        <w:gridCol w:w="4555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Robert Juřina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Palackého 64/9,392 01 Soběslav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Robert Juřina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Rejstříku Živnostenských listů č. 3478488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14"/>
        <w:gridCol w:w="4555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6370" w:h="298" w:hSpace="29" w:vSpace="730" w:wrap="notBeside" w:vAnchor="text" w:hAnchor="text" w:x="30" w:y="7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framePr w:w="6370" w:h="298" w:hSpace="29" w:vSpace="730" w:wrap="notBeside" w:vAnchor="text" w:hAnchor="text" w:x="30" w:y="7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mBank</w:t>
            </w:r>
          </w:p>
        </w:tc>
      </w:tr>
    </w:tbl>
    <w:p>
      <w:pPr>
        <w:pStyle w:val="Style14"/>
        <w:keepNext w:val="0"/>
        <w:keepLines w:val="0"/>
        <w:framePr w:w="4709" w:h="763" w:hSpace="5381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14"/>
        <w:keepNext w:val="0"/>
        <w:keepLines w:val="0"/>
        <w:framePr w:w="4709" w:h="763" w:hSpace="5381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„Zhotoviteí')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.Smluvní strany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..Smluvní strana")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691" w:val="left"/>
        </w:tabs>
        <w:bidi w:val="0"/>
        <w:spacing w:before="0" w:after="260" w:line="262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469900</wp:posOffset>
                </wp:positionV>
                <wp:extent cx="664210" cy="15557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Stránka 1 z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7.60000000000002pt;margin-top:37.pt;width:52.299999999999997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Stránka 1 z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2 z důvodu přerušení stavebního řízení na základě požadavku uvedení PD do souladu s povolením sjezdu autoservisu p. (viz příloha).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Dodatek č. 2 k SoD č. 333/2018-KSÚSV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ke změně termínů tímto způsobem: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1 - Technické podmínky PD, v části Lhůty plnění:</w:t>
      </w:r>
    </w:p>
    <w:tbl>
      <w:tblPr>
        <w:tblOverlap w:val="never"/>
        <w:jc w:val="center"/>
        <w:tblLayout w:type="fixed"/>
      </w:tblPr>
      <w:tblGrid>
        <w:gridCol w:w="5112"/>
        <w:gridCol w:w="4003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DSP+PDPS, včetně projednání s dotčenými orgány státní správy a samosprávy: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předání konceptu DSP+PDPS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vydání SP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15. 8. 2019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107"/>
        <w:gridCol w:w="4003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Podání žádosti o vydání SP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15. 8. 2019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Dokumentace PDPS včetně zapracování případných připomínek ze stavebního řízení a včetně soupisů prací, odsouhlasená objednatelem - předat do: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60 dnů od nabytí právní moci stavebního povolení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34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o dílo č. objednatele 333/2018-KSÚSV ve znění platných dodatků jsou tímto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nedotčené a zůstávají v platnosti v původním znění.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o dílo č. objednatele 333/2018-KSÚSV uzavřenédne 19. 11.2018 podle ustanovení § 2586 a násl. OZ.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ve 4 stejnopisech, z nichž 2 výtisky obdrží objednatel a 2 zhotovitel.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2 nabývá platnosti dnem podpisu a účinnosti dnem uveřejnění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1" w:val="left"/>
        </w:tabs>
        <w:bidi w:val="0"/>
        <w:spacing w:before="0" w:after="4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posunutí termínu ze dne 8. 10. 2019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26" w:left="1096" w:right="715" w:bottom="1002" w:header="1098" w:footer="57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39115" distB="0" distL="0" distR="0" simplePos="0" relativeHeight="125829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539115</wp:posOffset>
                </wp:positionV>
                <wp:extent cx="1606550" cy="6311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Soběslavi dne: 16.10.2019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6.700000000000003pt;margin-top:42.450000000000003pt;width:126.5pt;height:49.700000000000003pt;z-index:-125829369;mso-wrap-distance-left:0;mso-wrap-distance-top:42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Soběslavi dne: 16.10.2019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0700" distB="20955" distL="0" distR="0" simplePos="0" relativeHeight="125829386" behindDoc="0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520700</wp:posOffset>
                </wp:positionV>
                <wp:extent cx="1813560" cy="62801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356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18. 10. 2019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779" w:val="left"/>
                              </w:tabs>
                              <w:bidi w:val="0"/>
                              <w:spacing w:before="0" w:after="0" w:line="18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5.64999999999998pt;margin-top:41.pt;width:142.80000000000001pt;height:49.450000000000003pt;z-index:-125829367;mso-wrap-distance-left:0;mso-wrap-distance-top:41.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18. 10. 2019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779" w:val="left"/>
                        </w:tabs>
                        <w:bidi w:val="0"/>
                        <w:spacing w:before="0" w:after="0" w:line="18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6" w:left="0" w:right="0" w:bottom="10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29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12700</wp:posOffset>
                </wp:positionV>
                <wp:extent cx="551815" cy="17081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ert Juřina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76.pt;margin-top:1.pt;width:43.450000000000003pt;height:13.44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ert Juřina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RaddW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16" w:left="1090" w:right="721" w:bottom="1012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Dodatek č. 2 k SoD č. 333/2018-KSÚSV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Tuesday, October 8, 2019 12:15 PM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49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To: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  <w:tab/>
      </w:r>
      <w:r>
        <w:fldChar w:fldCharType="begin"/>
      </w:r>
      <w:r>
        <w:rPr/>
        <w:instrText> HYPERLINK "mailto:i@ksusv.cz"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i@ksusv.cz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&gt;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k SOD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 paní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42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vzhledem k průtahům ve stavebním řízeni, žádám o dodatek SOD - prodloužení termínu vydání pravomocného stavebního povolení a následně PDPS vč. soupisu prací. Průtahy jsou způsobeny zejména požadavkem stavebního úřadu na uvedení PD do souladu s povolením sjezdu autoservisu p. , tzn. ztížení sjezdu na 6 m a vypuštění stávající nepovolené zpevněné krajnice užívané k parkování, přičemž p. s touto úpravou nesouhlasí. S p.</w:t>
        <w:tab/>
        <w:t>hledáme řešení přijatelné pro stavební úřad a Policii ČR, 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svolané jednání na 17.10. Následně teprve bude možno upravit PD dle závěrů tohoto jednání a pokračovat v řízení. Byly ještě další důvody k přerušení stavebního řízení stavebním úřadem, avšak tyto již mám vyřešeny.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Vydání stavebního povolení předpokládám do konce roku 2019, právní moc tedy v lednu 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 předem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Robert Juřina tel.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07010" cy="262255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7010" cy="26225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2408" w:left="1392" w:right="831" w:bottom="1953" w:header="1980" w:footer="152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Nadpis #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Základní text (4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Nadpis #2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Základní text (3)_"/>
    <w:basedOn w:val="DefaultParagraphFont"/>
    <w:link w:val="Style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Základní text (3)"/>
    <w:basedOn w:val="Normal"/>
    <w:link w:val="CharStyle24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