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18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2528122" cy="32413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8122" cy="324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51" w:lineRule="auto"/>
        <w:ind w:firstLine="0"/>
        <w:rPr/>
      </w:pPr>
      <w:r w:rsidDel="00000000" w:rsidR="00000000" w:rsidRPr="00000000">
        <w:rPr>
          <w:rtl w:val="0"/>
        </w:rPr>
        <w:t xml:space="preserve">Příloha č. 1 výzvy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6" w:lineRule="auto"/>
        <w:rPr>
          <w:rFonts w:ascii="Calibri" w:cs="Calibri" w:eastAsia="Calibri" w:hAnsi="Calibri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35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KUPNÍ SMLOUVA NA DODÁVKU IT TECHNIKY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16" w:right="11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uzavřená níže uvedeného dne, měsíce a roku v souladu s ustanoveními § 2085 a násl. zákona č. 89/2012  Sb.,  občanský  zákoník,  ve  znění  pozdějších  předpisů  (dále  jen  „občanský  zákoník“), 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základě  zakázky  zadávané  v souladu  s  ustanovením  §  141  zákona  č.  134/2016  Sb.,  o  zadávání veřejných zakázek, ve znění pozdějších předpisů (dále jen „ZZVZ“), v dynamickém nákupním systému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názvem Dynamický nákupní systém na dodávku IT techniky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1" w:lineRule="auto"/>
        <w:rPr>
          <w:rFonts w:ascii="Calibri" w:cs="Calibri" w:eastAsia="Calibri" w:hAnsi="Calibri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308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mezi těmito smluvními stranami: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Ústav fyziky plazmatu AV ČR, v. v. i.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0"/>
        </w:tabs>
        <w:spacing w:after="0" w:before="98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Sídlo: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Slovankou 1782/3, 182 00 Praha 8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0"/>
        </w:tabs>
        <w:spacing w:after="0" w:before="101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</w:t>
        <w:tab/>
        <w:t xml:space="preserve">61389021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0"/>
        </w:tabs>
        <w:spacing w:after="0" w:before="101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DIČ:</w:t>
        <w:tab/>
        <w:t xml:space="preserve">CZ61389021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0"/>
        </w:tabs>
        <w:spacing w:after="0" w:before="98" w:line="291" w:lineRule="auto"/>
        <w:ind w:left="116" w:right="190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black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oprávněná zadavatele zastupovat: doc. RNDr. Radomír Pánek, Ph.D., ředitel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Bankovní spojení:</w:t>
        <w:tab/>
      </w:r>
      <w:r w:rsidDel="00000000" w:rsidR="00000000" w:rsidRPr="00000000">
        <w:rPr>
          <w:highlight w:val="black"/>
          <w:rtl w:val="0"/>
        </w:rPr>
        <w:t xml:space="preserve">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0"/>
        </w:tabs>
        <w:spacing w:after="0" w:before="2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black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Číslo účtu: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highlight w:val="black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IBAN: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black"/>
          <w:rtl w:val="0"/>
        </w:rPr>
        <w:t xml:space="preserve">xxxxxxxxxxxxxxxxxxxxxxxxxxx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SWIFT: </w:t>
      </w:r>
      <w:r w:rsidDel="00000000" w:rsidR="00000000" w:rsidRPr="00000000">
        <w:rPr>
          <w:highlight w:val="black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1" w:lineRule="auto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„kupující“)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Abacus Electric, s.r.o.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41"/>
        </w:tabs>
        <w:spacing w:after="0" w:before="70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Sídlo: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Planá 2, 370 01 České Budějovice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41"/>
        </w:tabs>
        <w:spacing w:after="0" w:before="72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</w:t>
        <w:tab/>
        <w:t xml:space="preserve">45022828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41"/>
        </w:tabs>
        <w:spacing w:after="0" w:before="72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DIČ:</w:t>
        <w:tab/>
        <w:t xml:space="preserve">CZ45022828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03" w:lineRule="auto"/>
        <w:ind w:left="116" w:right="73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Bankovní spojení: Číslo účtu: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76200</wp:posOffset>
                </wp:positionV>
                <wp:extent cx="1232535" cy="140335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555233" y="3709833"/>
                          <a:ext cx="1232535" cy="140335"/>
                          <a:chOff x="5555233" y="3709833"/>
                          <a:chExt cx="1232535" cy="140335"/>
                        </a:xfrm>
                      </wpg:grpSpPr>
                      <wpg:grpSp>
                        <wpg:cNvGrpSpPr/>
                        <wpg:grpSpPr>
                          <a:xfrm>
                            <a:off x="5555233" y="3709833"/>
                            <a:ext cx="1232535" cy="140335"/>
                            <a:chOff x="0" y="0"/>
                            <a:chExt cx="1232535" cy="1403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2525" cy="140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1232535" cy="140335"/>
                            </a:xfrm>
                            <a:custGeom>
                              <a:rect b="b" l="l" r="r" t="t"/>
                              <a:pathLst>
                                <a:path extrusionOk="0" h="140335" w="1232535">
                                  <a:moveTo>
                                    <a:pt x="0" y="140335"/>
                                  </a:moveTo>
                                  <a:lnTo>
                                    <a:pt x="1231900" y="140335"/>
                                  </a:lnTo>
                                  <a:lnTo>
                                    <a:pt x="123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3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76200</wp:posOffset>
                </wp:positionV>
                <wp:extent cx="1232535" cy="14033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535" cy="14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508000</wp:posOffset>
                </wp:positionV>
                <wp:extent cx="975360" cy="140335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683820" y="3709833"/>
                          <a:ext cx="975360" cy="140335"/>
                          <a:chOff x="5683820" y="3709833"/>
                          <a:chExt cx="975360" cy="140335"/>
                        </a:xfrm>
                      </wpg:grpSpPr>
                      <wpg:grpSp>
                        <wpg:cNvGrpSpPr/>
                        <wpg:grpSpPr>
                          <a:xfrm>
                            <a:off x="5683820" y="3709833"/>
                            <a:ext cx="975360" cy="140335"/>
                            <a:chOff x="0" y="0"/>
                            <a:chExt cx="975360" cy="1403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75350" cy="140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975360" cy="140335"/>
                            </a:xfrm>
                            <a:custGeom>
                              <a:rect b="b" l="l" r="r" t="t"/>
                              <a:pathLst>
                                <a:path extrusionOk="0" h="140335" w="975360">
                                  <a:moveTo>
                                    <a:pt x="0" y="140335"/>
                                  </a:moveTo>
                                  <a:lnTo>
                                    <a:pt x="975360" y="140335"/>
                                  </a:lnTo>
                                  <a:lnTo>
                                    <a:pt x="975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3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508000</wp:posOffset>
                </wp:positionV>
                <wp:extent cx="975360" cy="14033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14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292100</wp:posOffset>
                </wp:positionV>
                <wp:extent cx="1139190" cy="14033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601905" y="3709833"/>
                          <a:ext cx="1139190" cy="140335"/>
                          <a:chOff x="5601905" y="3709833"/>
                          <a:chExt cx="1139190" cy="140335"/>
                        </a:xfrm>
                      </wpg:grpSpPr>
                      <wpg:grpSp>
                        <wpg:cNvGrpSpPr/>
                        <wpg:grpSpPr>
                          <a:xfrm>
                            <a:off x="5601905" y="3709833"/>
                            <a:ext cx="1139190" cy="140335"/>
                            <a:chOff x="0" y="0"/>
                            <a:chExt cx="1139190" cy="1403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39175" cy="140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1139190" cy="140335"/>
                            </a:xfrm>
                            <a:custGeom>
                              <a:rect b="b" l="l" r="r" t="t"/>
                              <a:pathLst>
                                <a:path extrusionOk="0" h="140335" w="1139190">
                                  <a:moveTo>
                                    <a:pt x="0" y="139700"/>
                                  </a:moveTo>
                                  <a:lnTo>
                                    <a:pt x="1139190" y="139700"/>
                                  </a:lnTo>
                                  <a:lnTo>
                                    <a:pt x="1139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292100</wp:posOffset>
                </wp:positionV>
                <wp:extent cx="1139190" cy="14033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190" cy="14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before="7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(společně dále také jako „smluvní strany“ nebo každý z nich samostatně jako „smluvní strana“)</w:t>
      </w:r>
    </w:p>
    <w:p w:rsidR="00000000" w:rsidDel="00000000" w:rsidP="00000000" w:rsidRDefault="00000000" w:rsidRPr="00000000" w14:paraId="00000025">
      <w:pPr>
        <w:rPr/>
        <w:sectPr>
          <w:footerReference r:id="rId10" w:type="default"/>
          <w:pgSz w:h="16850" w:w="11900"/>
          <w:pgMar w:bottom="720" w:top="160" w:left="1300" w:right="1240" w:header="720" w:footer="534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6"/>
        </w:numPr>
        <w:tabs>
          <w:tab w:val="left" w:pos="3902"/>
        </w:tabs>
        <w:spacing w:before="33" w:lineRule="auto"/>
        <w:ind w:left="3901" w:hanging="703.0000000000001"/>
        <w:jc w:val="left"/>
        <w:rPr/>
      </w:pPr>
      <w:r w:rsidDel="00000000" w:rsidR="00000000" w:rsidRPr="00000000">
        <w:rPr>
          <w:rtl w:val="0"/>
        </w:rPr>
        <w:t xml:space="preserve">Úvodní ustanovení</w:t>
      </w:r>
    </w:p>
    <w:p w:rsidR="00000000" w:rsidDel="00000000" w:rsidP="00000000" w:rsidRDefault="00000000" w:rsidRPr="00000000" w14:paraId="00000027">
      <w:pPr>
        <w:spacing w:before="3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9"/>
        </w:tabs>
        <w:spacing w:after="0" w:before="0" w:line="240" w:lineRule="auto"/>
        <w:ind w:left="464" w:right="107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konstatují, že rozsah a obsah vzájemných práv a povinností vyplývajících z této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smlouvy se řídí platnými a účinnými právními předpisy, zejména občanským zákoníkem.</w:t>
      </w:r>
    </w:p>
    <w:p w:rsidR="00000000" w:rsidDel="00000000" w:rsidP="00000000" w:rsidRDefault="00000000" w:rsidRPr="00000000" w14:paraId="00000029">
      <w:pPr>
        <w:spacing w:before="6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9"/>
        </w:tabs>
        <w:spacing w:after="0" w:before="0" w:line="240" w:lineRule="auto"/>
        <w:ind w:left="464" w:right="102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bere na vědomí, že se svou účastí ve veřejné zakázce hlásí jako příslušník určitého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stavu nebo povolání k odbornému výkonu nebo jinak vystupuje jako odborník a dle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ustanovení § 2950 občanského zákoníku tak nahradí škodu, způsobí-li ji neúplnou nebo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nesprávnou informací nebo škodlivou radou danou za odměnu v záležitosti svého vědění nebo dovednosti.</w:t>
      </w:r>
    </w:p>
    <w:p w:rsidR="00000000" w:rsidDel="00000000" w:rsidP="00000000" w:rsidRDefault="00000000" w:rsidRPr="00000000" w14:paraId="0000002B">
      <w:pPr>
        <w:spacing w:before="9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9"/>
        </w:tabs>
        <w:spacing w:after="0" w:before="0" w:line="240" w:lineRule="auto"/>
        <w:ind w:left="464" w:right="101" w:hanging="33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základě zadávacího řízení na veřejnou zakázku zadanou v souladu s ustanovením § 141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ZZVZ v dynamickém nákupním systému pod názvem „Dodávka IT vybavení – 2 - 2019 “ (dále jen „veřejná zakázka“), prodávající předložil, v souladu se zadávacími podmínkami veřejné zakázky,  nabídku  ze  dne  20  9. 2019  (dále  jen  „nabídka“)  a  tato  byla  pro  plnění  veřejné zakázky v souladu se základním hodnotícím kritériem nejnižší nabídkové ceny vybrána jako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nejvhodnější a prodávající se tak stal vítězem výše uvedeného zadávacího řízení. V návaznosti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tuto skutečnost se smluvní strany dohodly na uzavření této smlouvy.</w:t>
      </w:r>
    </w:p>
    <w:p w:rsidR="00000000" w:rsidDel="00000000" w:rsidP="00000000" w:rsidRDefault="00000000" w:rsidRPr="00000000" w14:paraId="0000002D">
      <w:pPr>
        <w:spacing w:before="6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8"/>
        </w:tabs>
        <w:spacing w:after="0" w:before="0" w:line="240" w:lineRule="auto"/>
        <w:ind w:left="464" w:right="98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bere na vědomí, že kupující považuje účast prodávajícího ve veřejné zakázce při splnění kvalifikačních předpokladů za potvrzení skutečnosti, že prodávající je ve smyslu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ustanovení § 5 odst. 1 občanského zákoníku schopen při plnění této smlouvy jednat  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znalostí a pečlivostí, která je s jeho povoláním nebo stavem spojena, s tím, že případné jeho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jednání bez této odborné péče půjde k jeho tíži. Prodávající nesmí svou kvalitu odborníka 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své  hospodářské  postavení  zneužít  k  vytváření  nebo  k  využití  závislosti  slabší  strany 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dosažení zřejmé a nedůvodné nerovnováhy ve vzájemných právech a povinnostech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smluvních stran.</w:t>
      </w:r>
    </w:p>
    <w:p w:rsidR="00000000" w:rsidDel="00000000" w:rsidP="00000000" w:rsidRDefault="00000000" w:rsidRPr="00000000" w14:paraId="0000002F">
      <w:pPr>
        <w:spacing w:before="6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2"/>
        </w:tabs>
        <w:spacing w:after="0" w:before="0" w:line="240" w:lineRule="auto"/>
        <w:ind w:left="464" w:right="103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bere na vědomí, že kupující není ve vztahu k předmětu této smlouvy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podnikatelem.</w:t>
      </w:r>
    </w:p>
    <w:p w:rsidR="00000000" w:rsidDel="00000000" w:rsidP="00000000" w:rsidRDefault="00000000" w:rsidRPr="00000000" w14:paraId="00000031">
      <w:pPr>
        <w:spacing w:before="9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2"/>
        </w:tabs>
        <w:spacing w:after="0" w:before="0" w:line="240" w:lineRule="auto"/>
        <w:ind w:left="464" w:right="101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 realizaci koupě podle této smlouvy je kromě této smlouvy závazná též nabídka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prodávajícího, kterou předložil v rámci výběrového řízení, a technická specifikace zařízení, která byla podkladem pro zpracování nabídky v zadávacím řízení, a která je přílohou č. 1 této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smlouvy. V případě rozporů uvedených dokumentů má ve věcech technického popisu zařízení přednost uvedená technická specifikace zařízení, a ve věci právních závazků tato smlouva.</w:t>
      </w:r>
    </w:p>
    <w:p w:rsidR="00000000" w:rsidDel="00000000" w:rsidP="00000000" w:rsidRDefault="00000000" w:rsidRPr="00000000" w14:paraId="00000033">
      <w:pPr>
        <w:spacing w:before="8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3"/>
        </w:tabs>
        <w:spacing w:after="0" w:before="0" w:line="240" w:lineRule="auto"/>
        <w:ind w:left="464" w:right="102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Obě smluvní strany prohlašují, že tato smlouva je podřízena českému právnímu řádu a 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uzavírána v souladu s příslušnými ustanoveními občanského  zákoníku platného  ke  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uzavření této smlouvy.</w:t>
      </w:r>
    </w:p>
    <w:p w:rsidR="00000000" w:rsidDel="00000000" w:rsidP="00000000" w:rsidRDefault="00000000" w:rsidRPr="00000000" w14:paraId="00000035">
      <w:pPr>
        <w:spacing w:before="7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9"/>
        </w:tabs>
        <w:spacing w:after="0" w:before="0" w:line="240" w:lineRule="auto"/>
        <w:ind w:left="464" w:right="100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je výlučným vlastníkem věcí – IT vybavení, jejichž specifikace a množství 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přílohou č. 1 Smlouvy, která je nedílnou součástí této Smlouvy (dále také „věc“). Prodávající prohlašuje, že dodávané IT vybavení je nové a nepoužité.</w:t>
      </w:r>
    </w:p>
    <w:p w:rsidR="00000000" w:rsidDel="00000000" w:rsidP="00000000" w:rsidRDefault="00000000" w:rsidRPr="00000000" w14:paraId="00000037">
      <w:pPr>
        <w:jc w:val="both"/>
        <w:rPr/>
        <w:sectPr>
          <w:type w:val="nextPage"/>
          <w:pgSz w:h="16850" w:w="11900"/>
          <w:pgMar w:bottom="720" w:top="1480" w:left="1660" w:right="1240" w:header="0" w:footer="534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6"/>
        </w:numPr>
        <w:tabs>
          <w:tab w:val="left" w:pos="4075"/>
        </w:tabs>
        <w:spacing w:before="32" w:lineRule="auto"/>
        <w:ind w:left="4074" w:hanging="715"/>
        <w:jc w:val="left"/>
        <w:rPr/>
      </w:pPr>
      <w:r w:rsidDel="00000000" w:rsidR="00000000" w:rsidRPr="00000000">
        <w:rPr>
          <w:rtl w:val="0"/>
        </w:rPr>
        <w:t xml:space="preserve">Předmět koupě</w:t>
      </w:r>
    </w:p>
    <w:p w:rsidR="00000000" w:rsidDel="00000000" w:rsidP="00000000" w:rsidRDefault="00000000" w:rsidRPr="00000000" w14:paraId="00000039">
      <w:pPr>
        <w:spacing w:before="3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9"/>
        </w:tabs>
        <w:spacing w:after="0" w:before="0" w:line="240" w:lineRule="auto"/>
        <w:ind w:left="469" w:right="103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Účelem této smlouvy je řádné a včasné dodání IT vybavení, jehož specifikace je přílohou č.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této smlouvy.</w:t>
      </w:r>
    </w:p>
    <w:p w:rsidR="00000000" w:rsidDel="00000000" w:rsidP="00000000" w:rsidRDefault="00000000" w:rsidRPr="00000000" w14:paraId="0000003B">
      <w:pPr>
        <w:spacing w:before="12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"/>
        </w:tabs>
        <w:spacing w:after="0" w:before="0" w:line="240" w:lineRule="auto"/>
        <w:ind w:left="469" w:right="104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je výlučným vlastníkem věcí – IT vybavení, jejichž specifikace a množství 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přílohou č. 1 Smlouvy, která je nedílnou součástí této Smlouvy (dále také „věc“). Prodávající prohlašuje, že dodávané IT vybavení je nové a nepoužité.</w:t>
      </w:r>
    </w:p>
    <w:p w:rsidR="00000000" w:rsidDel="00000000" w:rsidP="00000000" w:rsidRDefault="00000000" w:rsidRPr="00000000" w14:paraId="0000003D">
      <w:pPr>
        <w:spacing w:before="6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8"/>
        </w:tabs>
        <w:spacing w:after="0" w:before="0" w:line="240" w:lineRule="auto"/>
        <w:ind w:left="469" w:right="101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prodává na základě této Smlouvy shora uvedenou věc za vzájemně dohodnutou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kupní cenu do vlastnictví kupujícího. Prodávající se zavazuje převést na kupujícího vlastnictví k věci, kupující se zavazuje věc prostou vad převzít a zaplatit za ni prodávajícímu dohodnutou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kupní cenu.</w:t>
      </w:r>
    </w:p>
    <w:p w:rsidR="00000000" w:rsidDel="00000000" w:rsidP="00000000" w:rsidRDefault="00000000" w:rsidRPr="00000000" w14:paraId="0000003F">
      <w:pPr>
        <w:spacing w:before="9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0" w:line="240" w:lineRule="auto"/>
        <w:ind w:left="469" w:right="99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Náklady spojené s odevzdáním věci, zejména dopravu a balení včetně případného pojištění spojených s dodávkou a přepravou a včetně případných dalších poplatků spojených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odvozem nese prodávající a náklady spojené s převzetím věci nese kupující. Prodávající 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zavazuje spolu s věcí předat dodací a záruční listy a související dokumentaci v rozsahu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poskytovanou výrobcem, např. návody atp.</w:t>
      </w:r>
    </w:p>
    <w:p w:rsidR="00000000" w:rsidDel="00000000" w:rsidP="00000000" w:rsidRDefault="00000000" w:rsidRPr="00000000" w14:paraId="00000041">
      <w:pPr>
        <w:spacing w:before="9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0"/>
        </w:tabs>
        <w:spacing w:after="0" w:before="0" w:line="240" w:lineRule="auto"/>
        <w:ind w:left="469" w:right="0" w:hanging="35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Součástí dodávky je rovněž servis po celou dobu záruční doby.</w:t>
      </w:r>
    </w:p>
    <w:p w:rsidR="00000000" w:rsidDel="00000000" w:rsidP="00000000" w:rsidRDefault="00000000" w:rsidRPr="00000000" w14:paraId="00000043">
      <w:pPr>
        <w:spacing w:before="1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numPr>
          <w:ilvl w:val="0"/>
          <w:numId w:val="6"/>
        </w:numPr>
        <w:tabs>
          <w:tab w:val="left" w:pos="3725"/>
        </w:tabs>
        <w:ind w:left="3724" w:hanging="708.0000000000001"/>
        <w:jc w:val="left"/>
        <w:rPr/>
      </w:pPr>
      <w:r w:rsidDel="00000000" w:rsidR="00000000" w:rsidRPr="00000000">
        <w:rPr>
          <w:rtl w:val="0"/>
        </w:rPr>
        <w:t xml:space="preserve">Garance prodávajícího</w:t>
      </w:r>
    </w:p>
    <w:p w:rsidR="00000000" w:rsidDel="00000000" w:rsidP="00000000" w:rsidRDefault="00000000" w:rsidRPr="00000000" w14:paraId="00000045">
      <w:pPr>
        <w:spacing w:before="3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9" w:right="106" w:hanging="35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Prodávající prohlašuje, že je vlastníkem zařízení a že na zařízení neváznou žádné věcné 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právní vady.</w:t>
      </w:r>
    </w:p>
    <w:p w:rsidR="00000000" w:rsidDel="00000000" w:rsidP="00000000" w:rsidRDefault="00000000" w:rsidRPr="00000000" w14:paraId="00000047">
      <w:pPr>
        <w:spacing w:before="1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numPr>
          <w:ilvl w:val="0"/>
          <w:numId w:val="6"/>
        </w:numPr>
        <w:tabs>
          <w:tab w:val="left" w:pos="3081"/>
        </w:tabs>
        <w:ind w:left="3080" w:hanging="715"/>
        <w:jc w:val="left"/>
        <w:rPr/>
      </w:pPr>
      <w:r w:rsidDel="00000000" w:rsidR="00000000" w:rsidRPr="00000000">
        <w:rPr>
          <w:rtl w:val="0"/>
        </w:rPr>
        <w:t xml:space="preserve">Doba, místo, způsob a jakost plnění</w:t>
      </w:r>
    </w:p>
    <w:p w:rsidR="00000000" w:rsidDel="00000000" w:rsidP="00000000" w:rsidRDefault="00000000" w:rsidRPr="00000000" w14:paraId="00000049">
      <w:pPr>
        <w:spacing w:before="3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40" w:lineRule="auto"/>
        <w:ind w:left="47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se zavazuje dodat zařízení nejpozději do 14 dnů od účinnosti smlouvy.</w:t>
      </w:r>
    </w:p>
    <w:p w:rsidR="00000000" w:rsidDel="00000000" w:rsidP="00000000" w:rsidRDefault="00000000" w:rsidRPr="00000000" w14:paraId="0000004B">
      <w:pPr>
        <w:spacing w:before="1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0" w:line="240" w:lineRule="auto"/>
        <w:ind w:left="476" w:right="101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 plnění je v Praze, dle přesné instrukce sdělené kupujícím před dodáním zařízení. Pokud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kupující nesdělí jinak, bude místem dodání Útvar IT, ÚFP AVČR na adrese: Za Slovankou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1782/3, 182 00 Praha 8.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"/>
        </w:tabs>
        <w:spacing w:after="0" w:before="120" w:line="240" w:lineRule="auto"/>
        <w:ind w:left="476" w:right="10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 převzetí  zařízení  včetně  předání  manuálů  a  veškeré  další  dokumentace  vztahující  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zařízení kupujícímu, sepíší smluvní strany předávací protokol, který  bude  podepsán oprávněnými (pověřenými) zástupci obou smluvních stran.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0"/>
        </w:tabs>
        <w:spacing w:after="0" w:before="119" w:line="266" w:lineRule="auto"/>
        <w:ind w:left="476" w:right="106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Nebezpečí škody na zařízení a vlastnické právo k zařízení přechází na kupujícího okamžikem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oboustranného podpisu předávacího protokolu dle odst. 3. tohoto článku.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0"/>
        </w:tabs>
        <w:spacing w:after="0" w:before="123" w:line="240" w:lineRule="auto"/>
        <w:ind w:left="476" w:right="102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je povinen písemně uvědomit o datu dodávky zařízení pověřeného zaměstnance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kupujícího uvedeného v této smlouvě, nebo jinak oznámeného prodávajícímu, a to vždy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alespoň 3 pracovní dny před jejím uskutečněním.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7"/>
        </w:tabs>
        <w:spacing w:after="0" w:before="121" w:line="240" w:lineRule="auto"/>
        <w:ind w:left="476" w:right="99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Kupující je oprávněn nepřevzít zařízení, pokud prodávající zařízení nedodá řádně, zejména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prodávající nedodá zařízení v dohodnutém počtu, technickém stavu a kvalitě, nebo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zařízení  vykazuje  zjevné  vady,  příp.  je  poškozené  nebo  rozbité,  nebo  prodávající  nedodá k zařízení potřebnou dokumentaci, včetně zajištění ostatních požadavků, které jsou v souladu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ustanovením čl. IV. této smlouvy.</w:t>
      </w:r>
    </w:p>
    <w:p w:rsidR="00000000" w:rsidDel="00000000" w:rsidP="00000000" w:rsidRDefault="00000000" w:rsidRPr="00000000" w14:paraId="00000051">
      <w:pPr>
        <w:pStyle w:val="Heading1"/>
        <w:numPr>
          <w:ilvl w:val="0"/>
          <w:numId w:val="6"/>
        </w:numPr>
        <w:tabs>
          <w:tab w:val="left" w:pos="3542"/>
        </w:tabs>
        <w:spacing w:before="123" w:lineRule="auto"/>
        <w:ind w:left="3541" w:hanging="708.0000000000001"/>
        <w:jc w:val="left"/>
        <w:rPr/>
      </w:pPr>
      <w:r w:rsidDel="00000000" w:rsidR="00000000" w:rsidRPr="00000000">
        <w:rPr>
          <w:rtl w:val="0"/>
        </w:rPr>
        <w:t xml:space="preserve">Cena a platební podmínky</w:t>
      </w:r>
    </w:p>
    <w:p w:rsidR="00000000" w:rsidDel="00000000" w:rsidP="00000000" w:rsidRDefault="00000000" w:rsidRPr="00000000" w14:paraId="00000052">
      <w:pPr>
        <w:spacing w:before="4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0" w:line="266" w:lineRule="auto"/>
        <w:ind w:left="469" w:right="102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Kupující se za kompletní dodávku dvou kusů zařízení podle této smlouvy zavazuje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prodávajícímu zaplatit kupní cenu ve výši 148 109,64 Kč bez DPH, daň z přidané hodnoty činí ke dni uzavření této smlouvy 31 103,36 Kč, tj. 179 213,00 Kč vč. DPH (dále jen „cena“).</w:t>
      </w:r>
    </w:p>
    <w:p w:rsidR="00000000" w:rsidDel="00000000" w:rsidP="00000000" w:rsidRDefault="00000000" w:rsidRPr="00000000" w14:paraId="00000054">
      <w:pPr>
        <w:spacing w:before="2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0"/>
        </w:tabs>
        <w:spacing w:after="0" w:before="0" w:line="240" w:lineRule="auto"/>
        <w:ind w:left="469" w:right="0" w:hanging="35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je oprávněn vyžadovat uhrazení DPH v souladu s příslušnými právními předpisy.</w:t>
      </w:r>
    </w:p>
    <w:p w:rsidR="00000000" w:rsidDel="00000000" w:rsidP="00000000" w:rsidRDefault="00000000" w:rsidRPr="00000000" w14:paraId="00000056">
      <w:pPr>
        <w:rPr/>
        <w:sectPr>
          <w:type w:val="nextPage"/>
          <w:pgSz w:h="16850" w:w="11900"/>
          <w:pgMar w:bottom="720" w:top="960" w:left="1660" w:right="1240" w:header="0" w:footer="534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28" w:line="240" w:lineRule="auto"/>
        <w:ind w:left="476" w:right="99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100 % kupní ceny uvedené v odstavci 1 tohoto článku bude kupujícím uhrazeno na základě faktury – daňového dokladu vystaveného prodávajícím po podpisu předávacího protokolu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kupujícím sepsaného k dodávce zařízení dle čl. IV. této smlouvy.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2"/>
        </w:tabs>
        <w:spacing w:after="0" w:before="118" w:line="240" w:lineRule="auto"/>
        <w:ind w:left="476" w:right="98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Splatnost faktury musí být vždy nejméně 30 kalendářních dnů ode dne jejího doručení kupujícímu. Faktura musí mít veškeré náležitosti daňového a účetního dokladu dle platných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právních  předpisů,  jinak  je  kupující  oprávněn,  a  to  i  opakovaně,  vrátit  ji  prodávajícímu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opravě. Lhůta splatnosti v takových případech běží až dnem doručení opravené faktury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obsahující veškeré náležitosti daňového a účetního dokladu dle platných právních předpisů kupujícímu. Na faktuře musí být uveden název dodávky: „Dodávka IT vybavení – 2- 2019“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rovněž položková specifikace dodaného zařízení.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121" w:line="240" w:lineRule="auto"/>
        <w:ind w:left="476" w:right="103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 vyloučení všech pochybností smluvní strany konstatují, že kupní cena uvedená v odst.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tohoto článku je cenou úplnou, kdy se jedná o cenu kompletní dodávky zařízení, v níž 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zahrnuta  doprava,  případné  kursové  rozdíly,  obaly  a  jejich  případná  likvidace,  doklady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zařízení a veškeré další náklady prodávajícího nutné ke splnění jeho povinností dle této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smlouvy. Kupní cena tak nemůže být jakkoliv navyšována.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"/>
        </w:tabs>
        <w:spacing w:after="0" w:before="121" w:line="240" w:lineRule="auto"/>
        <w:ind w:left="476" w:right="103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případě, že bude kupující hradit cenu za dodávku z různých finančních zdrojů, bude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povinen vystavit více faktur s označením dle požadavků kupujícího.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numPr>
          <w:ilvl w:val="0"/>
          <w:numId w:val="6"/>
        </w:numPr>
        <w:tabs>
          <w:tab w:val="left" w:pos="3998"/>
        </w:tabs>
        <w:ind w:left="3997" w:hanging="713.0000000000001"/>
        <w:jc w:val="left"/>
        <w:rPr/>
      </w:pPr>
      <w:r w:rsidDel="00000000" w:rsidR="00000000" w:rsidRPr="00000000">
        <w:rPr>
          <w:rtl w:val="0"/>
        </w:rPr>
        <w:t xml:space="preserve">Sankční ujednání</w:t>
      </w:r>
    </w:p>
    <w:p w:rsidR="00000000" w:rsidDel="00000000" w:rsidP="00000000" w:rsidRDefault="00000000" w:rsidRPr="00000000" w14:paraId="0000005F">
      <w:pPr>
        <w:spacing w:before="1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0" w:line="240" w:lineRule="auto"/>
        <w:ind w:left="476" w:right="103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případě, že prodávající bude v prodlení s dodáním zařízení v termínu dle článku IV. odst.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této smlouvy, je povinen uhradit kupujícímu smluvní pokutu ve výši 1.000,- Kč za každý započatý den prodlení, nedohodnou-li se strany výslovně jinak.</w:t>
      </w:r>
    </w:p>
    <w:p w:rsidR="00000000" w:rsidDel="00000000" w:rsidP="00000000" w:rsidRDefault="00000000" w:rsidRPr="00000000" w14:paraId="00000061">
      <w:pPr>
        <w:spacing w:before="12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0" w:line="240" w:lineRule="auto"/>
        <w:ind w:left="476" w:right="102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případě, že prodávající bude v prodlení s odstraněním vad dle čl. IX. této smlouvy, 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povinen uhradit kupujícímu smluvní pokutu ve výši 500,- Kč za každý započatý den prodlení, nedohodnou-li se strany výslovně jinak.</w:t>
      </w:r>
    </w:p>
    <w:p w:rsidR="00000000" w:rsidDel="00000000" w:rsidP="00000000" w:rsidRDefault="00000000" w:rsidRPr="00000000" w14:paraId="00000063">
      <w:pPr>
        <w:spacing w:before="9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0" w:line="240" w:lineRule="auto"/>
        <w:ind w:left="476" w:right="102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případě, že prodávající nesplní své garance uvedené v čl. V. této smlouvy, jejichž splnění není zajištěno smluvní pokutou výslovně sjednanou výše v odst. 1. a 2. tohoto článku, uhradí kupujícímu smluvní pokutu ve výši 0,03% z kupní ceny uvedené v čl. VII. odst. 1 této smlouvy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každý takový případ porušení povinnosti.</w:t>
      </w:r>
    </w:p>
    <w:p w:rsidR="00000000" w:rsidDel="00000000" w:rsidP="00000000" w:rsidRDefault="00000000" w:rsidRPr="00000000" w14:paraId="00000065">
      <w:pPr>
        <w:spacing w:before="6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"/>
        </w:tabs>
        <w:spacing w:after="0" w:before="0" w:line="240" w:lineRule="auto"/>
        <w:ind w:left="476" w:right="103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případě, že kupující bude v prodlení s úhradou kupní ceny v termínu dle čl. VII. této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smlouvy, je povinen uhradit prodávajícímu smluvní pokutu ve výši 0,03% z kupní ceny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uvedené v čl. VII. odst. 1 této smlouvy za každý započatý den prodlení.</w:t>
      </w:r>
    </w:p>
    <w:p w:rsidR="00000000" w:rsidDel="00000000" w:rsidP="00000000" w:rsidRDefault="00000000" w:rsidRPr="00000000" w14:paraId="00000067">
      <w:pPr>
        <w:spacing w:before="11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5"/>
        </w:tabs>
        <w:spacing w:after="0" w:before="0" w:line="267" w:lineRule="auto"/>
        <w:ind w:left="514" w:right="0" w:hanging="398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Ustanoveními o smluvní pokutě není dotčen nárok kupujícího na náhradu škody způsobené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47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porušením povinnosti, na kterou se smluvní pokuta vztahuje.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9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60"/>
        </w:tabs>
        <w:spacing w:after="0" w:before="0" w:line="240" w:lineRule="auto"/>
        <w:ind w:left="3659" w:right="0" w:hanging="713.000000000000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Záruční podmínky a servis</w:t>
      </w:r>
    </w:p>
    <w:p w:rsidR="00000000" w:rsidDel="00000000" w:rsidP="00000000" w:rsidRDefault="00000000" w:rsidRPr="00000000" w14:paraId="0000006E">
      <w:pPr>
        <w:spacing w:before="1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0" w:line="240" w:lineRule="auto"/>
        <w:ind w:left="476" w:right="10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odpovídá za vady, které má zařízení v době jeho předání a dále za vady zjištěné po celou dobu záruční lhůty. Prodávající zaručuje, že po dobu záruční lhůty bude mít zařízení vlastnosti stanovené touto smlouvou, příslušnými právními předpisy či normami, příp.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vlastnosti obvyklé. Záruční doba na předmět plnění činí 36 měsíců. Záruční doba počíná běžet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okamžikem oboustranného podpisu předávacího protokolu (jeho poslední části) dle čl. VI.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této smlouvy.</w:t>
      </w:r>
    </w:p>
    <w:p w:rsidR="00000000" w:rsidDel="00000000" w:rsidP="00000000" w:rsidRDefault="00000000" w:rsidRPr="00000000" w14:paraId="00000070">
      <w:pPr>
        <w:jc w:val="both"/>
        <w:rPr/>
        <w:sectPr>
          <w:type w:val="nextPage"/>
          <w:pgSz w:h="16850" w:w="11900"/>
          <w:pgMar w:bottom="720" w:top="960" w:left="1660" w:right="1240" w:header="0" w:footer="534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8"/>
        </w:tabs>
        <w:spacing w:after="0" w:before="28" w:line="240" w:lineRule="auto"/>
        <w:ind w:left="476" w:right="102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Popsaná záruka se nevztahuje na poškození zařízení způsobené kupujícím tím, že bude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zařízení používat v rozporu s předanými instrukcemi prodávajícího, manuály, nebo nebude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provádět jeho předepsanou údržbu.</w:t>
      </w:r>
    </w:p>
    <w:p w:rsidR="00000000" w:rsidDel="00000000" w:rsidP="00000000" w:rsidRDefault="00000000" w:rsidRPr="00000000" w14:paraId="00000072">
      <w:pPr>
        <w:spacing w:before="7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0"/>
        </w:tabs>
        <w:spacing w:after="0" w:before="0" w:line="240" w:lineRule="auto"/>
        <w:ind w:left="476" w:right="99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Během trvání záruční lhůty se prodávající zavazuje poskytovat kupujícímu plnou záruku, tj.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bezplatné opravy zařízení dle nahlášených vad kupujícím. Během trvání záruční doby není prodávající oprávněn účtovat kupujícímu náklady na práce servisního technika, náklady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jeho dopravu, náklady na náhradní díly, ani jakékoliv jiné náklady.</w:t>
      </w:r>
    </w:p>
    <w:p w:rsidR="00000000" w:rsidDel="00000000" w:rsidP="00000000" w:rsidRDefault="00000000" w:rsidRPr="00000000" w14:paraId="00000074">
      <w:pPr>
        <w:spacing w:before="8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1"/>
        </w:tabs>
        <w:spacing w:after="0" w:before="0" w:line="240" w:lineRule="auto"/>
        <w:ind w:left="476" w:right="102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Reklamace bude kupujícím uplatněna dle odst. 8. tohoto článku telefonicky na níže uvedené číslo nebo elektronickou formou prostřednictvím e-mailové zprávy na níže uvedenou adresu,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to bez zbytečného odkladu po zjištění vady kupujícím.</w:t>
      </w:r>
    </w:p>
    <w:p w:rsidR="00000000" w:rsidDel="00000000" w:rsidP="00000000" w:rsidRDefault="00000000" w:rsidRPr="00000000" w14:paraId="00000076">
      <w:pPr>
        <w:spacing w:before="9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8"/>
        </w:tabs>
        <w:spacing w:after="0" w:before="0" w:line="240" w:lineRule="auto"/>
        <w:ind w:left="476" w:right="10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Nedohodnou-li se smluvní strany výslovně jinak, prodávající je povinen neprodleně nastoupit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odbornému zásahu pro odstranění vady zařízení zjištěné v záruční době kupujícím.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je pak povinen odstranit tyto reklamované vady.</w:t>
      </w:r>
    </w:p>
    <w:p w:rsidR="00000000" w:rsidDel="00000000" w:rsidP="00000000" w:rsidRDefault="00000000" w:rsidRPr="00000000" w14:paraId="00000078">
      <w:pPr>
        <w:spacing w:before="1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"/>
        </w:tabs>
        <w:spacing w:after="0" w:before="0" w:line="240" w:lineRule="auto"/>
        <w:ind w:left="476" w:right="10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Ukáže-li se, že vada zařízení je neodstranitelná, zavazuje se prodávající dodat kupujícímu bez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zbytečného odkladu bezúplatně náhradní zařízení stejné kvality a parametrů, které byly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sjednány pro předmět koupě dle této smlouvy.</w:t>
      </w:r>
    </w:p>
    <w:p w:rsidR="00000000" w:rsidDel="00000000" w:rsidP="00000000" w:rsidRDefault="00000000" w:rsidRPr="00000000" w14:paraId="0000007A">
      <w:pPr>
        <w:spacing w:before="9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2"/>
        </w:tabs>
        <w:spacing w:after="0" w:before="0" w:line="240" w:lineRule="auto"/>
        <w:ind w:left="476" w:right="99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záruční doby se automaticky  prodlužuje o dobu od nahlášení závady  do  provedení opravy.</w:t>
      </w:r>
    </w:p>
    <w:p w:rsidR="00000000" w:rsidDel="00000000" w:rsidP="00000000" w:rsidRDefault="00000000" w:rsidRPr="00000000" w14:paraId="0000007C">
      <w:pPr>
        <w:spacing w:before="8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5"/>
        </w:tabs>
        <w:spacing w:after="0" w:before="0" w:line="240" w:lineRule="auto"/>
        <w:ind w:left="476" w:right="102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Hlášení závad, reklamací a havárií přijímá prodávající na tel.: </w:t>
      </w:r>
      <w:r w:rsidDel="00000000" w:rsidR="00000000" w:rsidRPr="00000000">
        <w:rPr>
          <w:highlight w:val="black"/>
          <w:rtl w:val="0"/>
        </w:rPr>
        <w:t xml:space="preserve">xxx xxx 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nebo helpdesk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black"/>
          <w:u w:val="none"/>
          <w:vertAlign w:val="baseline"/>
          <w:rtl w:val="0"/>
        </w:rPr>
        <w:t xml:space="preserve">https://podpora.abacus.cz/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12" w:lineRule="auto"/>
        <w:rPr>
          <w:rFonts w:ascii="Calibri" w:cs="Calibri" w:eastAsia="Calibri" w:hAnsi="Calibri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numPr>
          <w:ilvl w:val="0"/>
          <w:numId w:val="6"/>
        </w:numPr>
        <w:tabs>
          <w:tab w:val="left" w:pos="4015"/>
        </w:tabs>
        <w:ind w:left="4014" w:hanging="715"/>
        <w:jc w:val="left"/>
        <w:rPr/>
      </w:pPr>
      <w:r w:rsidDel="00000000" w:rsidR="00000000" w:rsidRPr="00000000">
        <w:rPr>
          <w:rtl w:val="0"/>
        </w:rPr>
        <w:t xml:space="preserve">Ostatní ujednání</w:t>
      </w:r>
    </w:p>
    <w:p w:rsidR="00000000" w:rsidDel="00000000" w:rsidP="00000000" w:rsidRDefault="00000000" w:rsidRPr="00000000" w14:paraId="00000082">
      <w:pPr>
        <w:spacing w:before="4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9"/>
        </w:tabs>
        <w:spacing w:after="0" w:before="0" w:line="240" w:lineRule="auto"/>
        <w:ind w:left="469" w:right="101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se jakožto osoba povinná spolupůsobit při výkonu finanční kontroly podle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ustanovení § 2 písm. e) zákona č. 320/2001 Sb., o finanční kontrole ve veřejné správě a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změně některých zákonů (zákon o finanční kontrole), ve znění pozdějších předpisů, tímto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zavazuje v souladu s pokyny kupujícího a při vynaložení veškeré potřebné odborné péče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spolupůsobit při výkonu finanční kontroly prováděné v souvislosti s úhradou  zboží  nebo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služeb z veřejných výdajů. Tuto povinnost rovněž zajistí prodávající u případných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subdodavatelů prodávajícího. Prodávající se zejména zavazuje umožnit osobám oprávněným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výkonu kontroly projektu, z něhož je předmět této smlouvy hrazen, provést kontrolu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dokladů souvisejících s plněním  předmětu této smlouvy v  sídle kupujícího, a umožnit jim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přístup i k těm částem nabídky, smlouvy a souvisejících dokumentů, které podléhají ochraně podle zvláštních právních předpisů, za předpokladu, že budou splněny všechny požadavky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právních předpisů na způsob provádění takové kontroly, a to jak během plnění dle této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smlouvy, tak po dobu danou právními předpisy České republiky.</w:t>
      </w:r>
    </w:p>
    <w:p w:rsidR="00000000" w:rsidDel="00000000" w:rsidP="00000000" w:rsidRDefault="00000000" w:rsidRPr="00000000" w14:paraId="00000084">
      <w:pPr>
        <w:spacing w:before="6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"/>
        </w:tabs>
        <w:spacing w:after="0" w:before="0" w:line="240" w:lineRule="auto"/>
        <w:ind w:left="469" w:right="101" w:hanging="35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se zavazuje uchovávat veškeré dokumenty a data související s plněním předmětu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smlouvy a kdykoli po tuto dobu umožnit kupující přístup k těmto archivovaným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písemnostem, a to do konce roku 2033. Kupující je oprávněn po uplynutí 10 let od ukončení plnění podle této smlouvy od prodávajícího výše uvedené dokumenty bezplatně převzít; 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dodržení této povinnosti je prodávající povinen zavázat také své případné subdodavatele.</w:t>
      </w:r>
    </w:p>
    <w:p w:rsidR="00000000" w:rsidDel="00000000" w:rsidP="00000000" w:rsidRDefault="00000000" w:rsidRPr="00000000" w14:paraId="00000086">
      <w:pPr>
        <w:spacing w:before="1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8"/>
        </w:tabs>
        <w:spacing w:after="0" w:before="0" w:line="240" w:lineRule="auto"/>
        <w:ind w:left="476" w:right="99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je povinen vůči třetím osobám zachovávat mlčenlivost o všech skutečnostech,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které se dozvěděl při realizaci této smlouvy a v souvislosti s ní, zejména o těch, které jsou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chráněny příslušnými obecně závaznými právními předpisy (zejména obchodní tajemství,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osobní údaje, utajované informace), nebo které kupující prohlásil za důvěrné. Povinnost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mlčenlivosti trvá i po skončení platnosti této smlouvy. Plnění této povinnosti se prodávající</w:t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Calibri" w:cs="Calibri" w:eastAsia="Calibri" w:hAnsi="Calibri"/>
        </w:rPr>
        <w:sectPr>
          <w:type w:val="nextPage"/>
          <w:pgSz w:h="16850" w:w="11900"/>
          <w:pgMar w:bottom="720" w:top="960" w:left="1660" w:right="1240" w:header="0" w:footer="534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66" w:lineRule="auto"/>
        <w:ind w:left="476" w:right="1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zavazuje  zajistit  i  u  všech  svých  zaměstnanců,  případně  jiných  osob,  které  prodávající k realizaci této smlouvy použije.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"/>
        </w:tabs>
        <w:spacing w:after="0" w:before="125" w:line="266" w:lineRule="auto"/>
        <w:ind w:left="476" w:right="10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není oprávněn postoupit pohledávku plynoucí z této smlouvy třetí osobě bez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písemného souhlasu kupujícího.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123" w:line="240" w:lineRule="auto"/>
        <w:ind w:left="476" w:right="192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souhlasí se zveřejněním obsahu smlouvy nebo jejích částí podle zákona č. 106/1999 Sb., o svobodném přístupu k informacím, ve znění pozdějších předpisů, zejména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povinností kupujícího poskytnout informaci o ceně zařízení a název a sídlo prodávajícího.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1"/>
        </w:tabs>
        <w:spacing w:after="0" w:before="120" w:line="240" w:lineRule="auto"/>
        <w:ind w:left="476" w:right="10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si je vědom skutečnosti, že kupující může zveřejnit tuto smlouvu na svém profilu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zadavatele, a to vč. všech dodatků a příloh, výši skutečně uhrazené ceny po ukončení dodávky a přehled případných subdodavatelů prodávajícího, a všechny obdobné informace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dle zákona. Prodávající je povinen k tomu poskytnout kupujícímu  potřebnou  součinnost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podle ustanovení.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123" w:line="240" w:lineRule="auto"/>
        <w:ind w:left="476" w:right="102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smlouvu se rovněž vztahují povinnosti zveřejnění podle zákona o registru smluv, a 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včetně důsledku týkajících se účinnosti smlouvy. K naplnění ustanovení uvedeného zákona 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strany poskytnou nutnou součinnost.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"/>
        </w:tabs>
        <w:spacing w:after="0" w:before="118" w:line="240" w:lineRule="auto"/>
        <w:ind w:left="476" w:right="10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souhlasí s tím, že zveřejnění (poskytnutí) uvedených informací dle výše citovaných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zákonů se nepovažuje za porušení obchodního tajemství a s jejich zveřejněním tímto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vyslovuje svůj přímý souhlas.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120" w:line="692" w:lineRule="auto"/>
        <w:ind w:left="152" w:right="1783" w:hanging="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Kupující pověřil jednáním a úkony v technických záležitostech této smlouvy: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pověřil jednáním a úkony v technických záležitostech této smlouvy: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850900</wp:posOffset>
                </wp:positionV>
                <wp:extent cx="3660775" cy="140335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69713" y="3709833"/>
                          <a:ext cx="3660775" cy="140335"/>
                          <a:chOff x="4569713" y="3709833"/>
                          <a:chExt cx="3660775" cy="140335"/>
                        </a:xfrm>
                      </wpg:grpSpPr>
                      <wpg:grpSp>
                        <wpg:cNvGrpSpPr/>
                        <wpg:grpSpPr>
                          <a:xfrm>
                            <a:off x="4569713" y="3709833"/>
                            <a:ext cx="3660775" cy="140335"/>
                            <a:chOff x="0" y="0"/>
                            <a:chExt cx="3660775" cy="1403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660775" cy="140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3660775" cy="140335"/>
                            </a:xfrm>
                            <a:custGeom>
                              <a:rect b="b" l="l" r="r" t="t"/>
                              <a:pathLst>
                                <a:path extrusionOk="0" h="140335" w="3660775">
                                  <a:moveTo>
                                    <a:pt x="0" y="140335"/>
                                  </a:moveTo>
                                  <a:lnTo>
                                    <a:pt x="3660775" y="140335"/>
                                  </a:lnTo>
                                  <a:lnTo>
                                    <a:pt x="3660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3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850900</wp:posOffset>
                </wp:positionV>
                <wp:extent cx="3660775" cy="14033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0775" cy="14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355600</wp:posOffset>
                </wp:positionV>
                <wp:extent cx="4006850" cy="14033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96675" y="3709833"/>
                          <a:ext cx="4006850" cy="140335"/>
                          <a:chOff x="4396675" y="3709833"/>
                          <a:chExt cx="4006850" cy="140335"/>
                        </a:xfrm>
                      </wpg:grpSpPr>
                      <wpg:grpSp>
                        <wpg:cNvGrpSpPr/>
                        <wpg:grpSpPr>
                          <a:xfrm>
                            <a:off x="4396675" y="3709833"/>
                            <a:ext cx="4006850" cy="140335"/>
                            <a:chOff x="0" y="0"/>
                            <a:chExt cx="4006850" cy="1403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006850" cy="140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4006850" cy="140335"/>
                            </a:xfrm>
                            <a:custGeom>
                              <a:rect b="b" l="l" r="r" t="t"/>
                              <a:pathLst>
                                <a:path extrusionOk="0" h="140335" w="4006850">
                                  <a:moveTo>
                                    <a:pt x="0" y="139700"/>
                                  </a:moveTo>
                                  <a:lnTo>
                                    <a:pt x="4006850" y="139700"/>
                                  </a:lnTo>
                                  <a:lnTo>
                                    <a:pt x="4006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355600</wp:posOffset>
                </wp:positionV>
                <wp:extent cx="4006850" cy="14033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850" cy="14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52" w:right="10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 změně pověřených pracovníků postačí oznámení druhé smluvní straně e-mailem s vyžádáním si potvrzení o  doručení (nedohodnou-li se smluvní strany jinak), a to nejpozději do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kalendářních dnů od dne, kdy k takové změně dojde.</w:t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numPr>
          <w:ilvl w:val="0"/>
          <w:numId w:val="6"/>
        </w:numPr>
        <w:tabs>
          <w:tab w:val="left" w:pos="3660"/>
        </w:tabs>
        <w:spacing w:before="150" w:lineRule="auto"/>
        <w:ind w:left="3659" w:hanging="708.0000000000001"/>
        <w:jc w:val="left"/>
        <w:rPr/>
      </w:pPr>
      <w:r w:rsidDel="00000000" w:rsidR="00000000" w:rsidRPr="00000000">
        <w:rPr>
          <w:rtl w:val="0"/>
        </w:rPr>
        <w:t xml:space="preserve">Odstoupení od smlouvy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11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  Od této smlouvy lze jednostranně odstoupit podle ustanovení § 1969 a § 2002 – 2005 zák. č.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89/2012 Sb., občanský zákoník.</w:t>
      </w:r>
    </w:p>
    <w:p w:rsidR="00000000" w:rsidDel="00000000" w:rsidP="00000000" w:rsidRDefault="00000000" w:rsidRPr="00000000" w14:paraId="00000095">
      <w:pPr>
        <w:spacing w:before="7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numPr>
          <w:ilvl w:val="0"/>
          <w:numId w:val="6"/>
        </w:numPr>
        <w:tabs>
          <w:tab w:val="left" w:pos="3756"/>
        </w:tabs>
        <w:ind w:left="3755" w:hanging="718.0000000000001"/>
        <w:jc w:val="left"/>
        <w:rPr/>
      </w:pPr>
      <w:r w:rsidDel="00000000" w:rsidR="00000000" w:rsidRPr="00000000">
        <w:rPr>
          <w:rtl w:val="0"/>
        </w:rPr>
        <w:t xml:space="preserve">Závěrečná ustanovení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"/>
        </w:tabs>
        <w:spacing w:after="0" w:before="112" w:line="240" w:lineRule="auto"/>
        <w:ind w:left="476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Nedílnou součástí této smlouvy je její příloha č. 1 – Technická specifikace zařízení.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"/>
        </w:tabs>
        <w:spacing w:after="0" w:before="120" w:line="240" w:lineRule="auto"/>
        <w:ind w:left="476" w:right="102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Je-li, nebo stane-li se kterékoli ustanovení této smlouvy v jakémkoli směru nezákonným,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neplatným či nevykonatelným, zákonnost a vykonatelnost zbývajících ustanovení této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smlouvy tím nebude dotčena ani oslabena. Smluvní strany se zavazují, že jakékoli takové nezákonné, neplatné nebo nevykonatelné ustanovení nahradí novým, které bude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nezákonnému, neplatnému či nevykonatelnému ustanovení svým významem co nejblíže.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121" w:line="240" w:lineRule="auto"/>
        <w:ind w:left="476" w:right="10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se zavazují veškeré spory vzniklé z této smlouvy primárně řešit  smírnou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cestou. Pokud však nedojde ke smírnému řešení sporu vyplývajícího z této smlouvy, 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příslušný k řešení takového sporu věcně příslušný soud, který je místně příslušný dle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příslušného zákona podle sídla kupujícího. Veškeré spory se řídí podle  českého  právního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řádu.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7"/>
        </w:tabs>
        <w:spacing w:after="0" w:before="120" w:line="240" w:lineRule="auto"/>
        <w:ind w:left="476" w:right="101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 smlouvu lze měnit a doplňovat jen na základě písemných číslovaných a oprávněnými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zástupci obou smluvních stran podepsaných dodatků k této smlouvě, vyjma však změny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pověřených pracovníků dle čl. X. této smlouvy, ke které může dojít způsobem uvedeným v čl.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476" w:right="1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X. odst. 9. této smlouvy. Všechny dodatky, které budou označeny jako dodatky této smlouvy,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jsou nedílnou součástí této smlouvy.</w:t>
      </w:r>
    </w:p>
    <w:p w:rsidR="00000000" w:rsidDel="00000000" w:rsidP="00000000" w:rsidRDefault="00000000" w:rsidRPr="00000000" w14:paraId="0000009C">
      <w:pPr>
        <w:spacing w:line="240" w:lineRule="auto"/>
        <w:rPr/>
        <w:sectPr>
          <w:type w:val="nextPage"/>
          <w:pgSz w:h="16850" w:w="11900"/>
          <w:pgMar w:bottom="720" w:top="960" w:left="1660" w:right="1240" w:header="0" w:footer="534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27" w:line="240" w:lineRule="auto"/>
        <w:ind w:left="836" w:right="99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Veškeré písemnosti doručované v souladu s touto smlouvou se budou doručovat na adresy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uvedené v záhlaví této smlouvy, anebo na jiné adresy písemně sdělené druhé smluvní straně,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není-li v této smlouvě výslovně určeno jinak. Má-li být podle této smlouvy doručena listina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oznamující provedení určitého právního jednání, považuje se taková listina za  doručenou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dnem jejího převzetí adresátem. Je-li taková listina odesílána  doporučeně  poštovní přepravou a není-li vykázáno její převzetí adresátem, je považována za doručenou, respektive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právní účinky oznamovaného právního jednání nastanou, třetího dne po jejím opětovném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odeslání uvedeným způsobem, nestanoví-li v konkrétním případě zákon jinak.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120" w:line="240" w:lineRule="auto"/>
        <w:ind w:left="836" w:right="106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vyhotovena ve 2 stejnopisech, z nichž každá smluvní strana  obdrží  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jednom z nich.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836" w:right="99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okamžikem jejího podpisu oprávněnými zástupci obou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smluvních stran. Účinnosti pak tato smlouva nabývá buď dnem jejího uzavření, nebo dnem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určeným příslušným zákonem, který se na tuto smlouvu vztahuje, když v době sepsání této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smlouvy platilo, že se stane účinnou dnem jejího vložení do registru smluv.</w:t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Příloha č. 1: technická specifikace IT vybavení</w:t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1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61"/>
        </w:tabs>
        <w:spacing w:after="0" w:before="0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Kupující:</w:t>
        <w:tab/>
        <w:t xml:space="preserve">Prodávající: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61"/>
        </w:tabs>
        <w:spacing w:after="0" w:before="125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Praze dne 16.10.2019 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Plané dne 30.9.2019</w:t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2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pos="5070"/>
        </w:tabs>
        <w:ind w:left="107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Fonts w:ascii="Calibri" w:cs="Calibri" w:eastAsia="Calibri" w:hAnsi="Calibri"/>
          <w:sz w:val="2"/>
          <w:szCs w:val="2"/>
        </w:rPr>
        <mc:AlternateContent>
          <mc:Choice Requires="wpg">
            <w:drawing>
              <wp:inline distB="0" distT="0" distL="114300" distR="114300">
                <wp:extent cx="2441575" cy="1079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25213" y="3774603"/>
                          <a:ext cx="2441575" cy="10795"/>
                          <a:chOff x="4125213" y="3774603"/>
                          <a:chExt cx="2441575" cy="10775"/>
                        </a:xfrm>
                      </wpg:grpSpPr>
                      <wpg:grpSp>
                        <wpg:cNvGrpSpPr/>
                        <wpg:grpSpPr>
                          <a:xfrm>
                            <a:off x="4125213" y="3774603"/>
                            <a:ext cx="2441575" cy="10775"/>
                            <a:chOff x="0" y="0"/>
                            <a:chExt cx="2441575" cy="107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4157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080" y="5080"/>
                              <a:ext cx="2430780" cy="1270"/>
                            </a:xfrm>
                            <a:custGeom>
                              <a:rect b="b" l="l" r="r" t="t"/>
                              <a:pathLst>
                                <a:path extrusionOk="0" h="1270" w="2430780">
                                  <a:moveTo>
                                    <a:pt x="0" y="0"/>
                                  </a:moveTo>
                                  <a:lnTo>
                                    <a:pt x="24307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0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441575" cy="1079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1575" cy="107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"/>
          <w:szCs w:val="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"/>
          <w:szCs w:val="2"/>
        </w:rPr>
        <mc:AlternateContent>
          <mc:Choice Requires="wpg">
            <w:drawing>
              <wp:inline distB="0" distT="0" distL="114300" distR="114300">
                <wp:extent cx="2620010" cy="1079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35995" y="3774603"/>
                          <a:ext cx="2620010" cy="10795"/>
                          <a:chOff x="4035995" y="3774603"/>
                          <a:chExt cx="2620000" cy="10775"/>
                        </a:xfrm>
                      </wpg:grpSpPr>
                      <wpg:grpSp>
                        <wpg:cNvGrpSpPr/>
                        <wpg:grpSpPr>
                          <a:xfrm>
                            <a:off x="4035995" y="3774603"/>
                            <a:ext cx="2620000" cy="10775"/>
                            <a:chOff x="0" y="0"/>
                            <a:chExt cx="2620000" cy="107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20000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5080" y="5080"/>
                              <a:ext cx="2609215" cy="1270"/>
                            </a:xfrm>
                            <a:custGeom>
                              <a:rect b="b" l="l" r="r" t="t"/>
                              <a:pathLst>
                                <a:path extrusionOk="0" h="1270" w="2609215">
                                  <a:moveTo>
                                    <a:pt x="0" y="0"/>
                                  </a:moveTo>
                                  <a:lnTo>
                                    <a:pt x="260921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0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620010" cy="1079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0010" cy="107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61"/>
        </w:tabs>
        <w:spacing w:after="0" w:before="124" w:line="347" w:lineRule="auto"/>
        <w:ind w:left="116" w:right="2365" w:hanging="0.999999999999996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Ústav fyziky plazmatu AV ČR, v. v. 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Abacus Electric, s.r.o.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doc. RNDr. Radomír Pánek, Ph.D., ředitel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361950</wp:posOffset>
                </wp:positionV>
                <wp:extent cx="1231900" cy="14033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555550" y="3709833"/>
                          <a:ext cx="1231900" cy="140335"/>
                          <a:chOff x="5555550" y="3709833"/>
                          <a:chExt cx="1231900" cy="140335"/>
                        </a:xfrm>
                      </wpg:grpSpPr>
                      <wpg:grpSp>
                        <wpg:cNvGrpSpPr/>
                        <wpg:grpSpPr>
                          <a:xfrm>
                            <a:off x="5555550" y="3709833"/>
                            <a:ext cx="1231900" cy="140335"/>
                            <a:chOff x="0" y="0"/>
                            <a:chExt cx="1231900" cy="1403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1900" cy="140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1231900" cy="140335"/>
                            </a:xfrm>
                            <a:custGeom>
                              <a:rect b="b" l="l" r="r" t="t"/>
                              <a:pathLst>
                                <a:path extrusionOk="0" h="140335" w="1231900">
                                  <a:moveTo>
                                    <a:pt x="0" y="140335"/>
                                  </a:moveTo>
                                  <a:lnTo>
                                    <a:pt x="1231265" y="140335"/>
                                  </a:lnTo>
                                  <a:lnTo>
                                    <a:pt x="123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3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361950</wp:posOffset>
                </wp:positionV>
                <wp:extent cx="1231900" cy="14033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14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50" w:w="11900"/>
      <w:pgMar w:bottom="720" w:top="960" w:left="1300" w:right="1240" w:header="0" w:footer="534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spacing w:line="240" w:lineRule="auto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76" w:hanging="375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28" w:hanging="374.9999999999999"/>
      </w:pPr>
      <w:rPr/>
    </w:lvl>
    <w:lvl w:ilvl="2">
      <w:start w:val="1"/>
      <w:numFmt w:val="bullet"/>
      <w:lvlText w:val="•"/>
      <w:lvlJc w:val="left"/>
      <w:pPr>
        <w:ind w:left="2180" w:hanging="375"/>
      </w:pPr>
      <w:rPr/>
    </w:lvl>
    <w:lvl w:ilvl="3">
      <w:start w:val="1"/>
      <w:numFmt w:val="bullet"/>
      <w:lvlText w:val="•"/>
      <w:lvlJc w:val="left"/>
      <w:pPr>
        <w:ind w:left="3033" w:hanging="375"/>
      </w:pPr>
      <w:rPr/>
    </w:lvl>
    <w:lvl w:ilvl="4">
      <w:start w:val="1"/>
      <w:numFmt w:val="bullet"/>
      <w:lvlText w:val="•"/>
      <w:lvlJc w:val="left"/>
      <w:pPr>
        <w:ind w:left="3885" w:hanging="375"/>
      </w:pPr>
      <w:rPr/>
    </w:lvl>
    <w:lvl w:ilvl="5">
      <w:start w:val="1"/>
      <w:numFmt w:val="bullet"/>
      <w:lvlText w:val="•"/>
      <w:lvlJc w:val="left"/>
      <w:pPr>
        <w:ind w:left="4737" w:hanging="375"/>
      </w:pPr>
      <w:rPr/>
    </w:lvl>
    <w:lvl w:ilvl="6">
      <w:start w:val="1"/>
      <w:numFmt w:val="bullet"/>
      <w:lvlText w:val="•"/>
      <w:lvlJc w:val="left"/>
      <w:pPr>
        <w:ind w:left="5590" w:hanging="375"/>
      </w:pPr>
      <w:rPr/>
    </w:lvl>
    <w:lvl w:ilvl="7">
      <w:start w:val="1"/>
      <w:numFmt w:val="bullet"/>
      <w:lvlText w:val="•"/>
      <w:lvlJc w:val="left"/>
      <w:pPr>
        <w:ind w:left="6442" w:hanging="375"/>
      </w:pPr>
      <w:rPr/>
    </w:lvl>
    <w:lvl w:ilvl="8">
      <w:start w:val="1"/>
      <w:numFmt w:val="bullet"/>
      <w:lvlText w:val="•"/>
      <w:lvlJc w:val="left"/>
      <w:pPr>
        <w:ind w:left="7294" w:hanging="37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69" w:hanging="363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22" w:hanging="363.0000000000001"/>
      </w:pPr>
      <w:rPr/>
    </w:lvl>
    <w:lvl w:ilvl="2">
      <w:start w:val="1"/>
      <w:numFmt w:val="bullet"/>
      <w:lvlText w:val="•"/>
      <w:lvlJc w:val="left"/>
      <w:pPr>
        <w:ind w:left="2175" w:hanging="363"/>
      </w:pPr>
      <w:rPr/>
    </w:lvl>
    <w:lvl w:ilvl="3">
      <w:start w:val="1"/>
      <w:numFmt w:val="bullet"/>
      <w:lvlText w:val="•"/>
      <w:lvlJc w:val="left"/>
      <w:pPr>
        <w:ind w:left="3028" w:hanging="363"/>
      </w:pPr>
      <w:rPr/>
    </w:lvl>
    <w:lvl w:ilvl="4">
      <w:start w:val="1"/>
      <w:numFmt w:val="bullet"/>
      <w:lvlText w:val="•"/>
      <w:lvlJc w:val="left"/>
      <w:pPr>
        <w:ind w:left="3881" w:hanging="363"/>
      </w:pPr>
      <w:rPr/>
    </w:lvl>
    <w:lvl w:ilvl="5">
      <w:start w:val="1"/>
      <w:numFmt w:val="bullet"/>
      <w:lvlText w:val="•"/>
      <w:lvlJc w:val="left"/>
      <w:pPr>
        <w:ind w:left="4734" w:hanging="363"/>
      </w:pPr>
      <w:rPr/>
    </w:lvl>
    <w:lvl w:ilvl="6">
      <w:start w:val="1"/>
      <w:numFmt w:val="bullet"/>
      <w:lvlText w:val="•"/>
      <w:lvlJc w:val="left"/>
      <w:pPr>
        <w:ind w:left="5587" w:hanging="362.9999999999991"/>
      </w:pPr>
      <w:rPr/>
    </w:lvl>
    <w:lvl w:ilvl="7">
      <w:start w:val="1"/>
      <w:numFmt w:val="bullet"/>
      <w:lvlText w:val="•"/>
      <w:lvlJc w:val="left"/>
      <w:pPr>
        <w:ind w:left="6440" w:hanging="363"/>
      </w:pPr>
      <w:rPr/>
    </w:lvl>
    <w:lvl w:ilvl="8">
      <w:start w:val="1"/>
      <w:numFmt w:val="bullet"/>
      <w:lvlText w:val="•"/>
      <w:lvlJc w:val="left"/>
      <w:pPr>
        <w:ind w:left="7293" w:hanging="363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76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28" w:hanging="359.9999999999999"/>
      </w:pPr>
      <w:rPr/>
    </w:lvl>
    <w:lvl w:ilvl="2">
      <w:start w:val="1"/>
      <w:numFmt w:val="bullet"/>
      <w:lvlText w:val="•"/>
      <w:lvlJc w:val="left"/>
      <w:pPr>
        <w:ind w:left="2180" w:hanging="360"/>
      </w:pPr>
      <w:rPr/>
    </w:lvl>
    <w:lvl w:ilvl="3">
      <w:start w:val="1"/>
      <w:numFmt w:val="bullet"/>
      <w:lvlText w:val="•"/>
      <w:lvlJc w:val="left"/>
      <w:pPr>
        <w:ind w:left="3033" w:hanging="360"/>
      </w:pPr>
      <w:rPr/>
    </w:lvl>
    <w:lvl w:ilvl="4">
      <w:start w:val="1"/>
      <w:numFmt w:val="bullet"/>
      <w:lvlText w:val="•"/>
      <w:lvlJc w:val="left"/>
      <w:pPr>
        <w:ind w:left="3885" w:hanging="360"/>
      </w:pPr>
      <w:rPr/>
    </w:lvl>
    <w:lvl w:ilvl="5">
      <w:start w:val="1"/>
      <w:numFmt w:val="bullet"/>
      <w:lvlText w:val="•"/>
      <w:lvlJc w:val="left"/>
      <w:pPr>
        <w:ind w:left="4737" w:hanging="360"/>
      </w:pPr>
      <w:rPr/>
    </w:lvl>
    <w:lvl w:ilvl="6">
      <w:start w:val="1"/>
      <w:numFmt w:val="bullet"/>
      <w:lvlText w:val="•"/>
      <w:lvlJc w:val="left"/>
      <w:pPr>
        <w:ind w:left="5590" w:hanging="360"/>
      </w:pPr>
      <w:rPr/>
    </w:lvl>
    <w:lvl w:ilvl="7">
      <w:start w:val="1"/>
      <w:numFmt w:val="bullet"/>
      <w:lvlText w:val="•"/>
      <w:lvlJc w:val="left"/>
      <w:pPr>
        <w:ind w:left="6442" w:hanging="360"/>
      </w:pPr>
      <w:rPr/>
    </w:lvl>
    <w:lvl w:ilvl="8">
      <w:start w:val="1"/>
      <w:numFmt w:val="bullet"/>
      <w:lvlText w:val="•"/>
      <w:lvlJc w:val="left"/>
      <w:pPr>
        <w:ind w:left="7294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69" w:hanging="375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22" w:hanging="375.0000000000001"/>
      </w:pPr>
      <w:rPr/>
    </w:lvl>
    <w:lvl w:ilvl="2">
      <w:start w:val="1"/>
      <w:numFmt w:val="bullet"/>
      <w:lvlText w:val="•"/>
      <w:lvlJc w:val="left"/>
      <w:pPr>
        <w:ind w:left="2175" w:hanging="375"/>
      </w:pPr>
      <w:rPr/>
    </w:lvl>
    <w:lvl w:ilvl="3">
      <w:start w:val="1"/>
      <w:numFmt w:val="bullet"/>
      <w:lvlText w:val="•"/>
      <w:lvlJc w:val="left"/>
      <w:pPr>
        <w:ind w:left="3028" w:hanging="375"/>
      </w:pPr>
      <w:rPr/>
    </w:lvl>
    <w:lvl w:ilvl="4">
      <w:start w:val="1"/>
      <w:numFmt w:val="bullet"/>
      <w:lvlText w:val="•"/>
      <w:lvlJc w:val="left"/>
      <w:pPr>
        <w:ind w:left="3881" w:hanging="375"/>
      </w:pPr>
      <w:rPr/>
    </w:lvl>
    <w:lvl w:ilvl="5">
      <w:start w:val="1"/>
      <w:numFmt w:val="bullet"/>
      <w:lvlText w:val="•"/>
      <w:lvlJc w:val="left"/>
      <w:pPr>
        <w:ind w:left="4734" w:hanging="375"/>
      </w:pPr>
      <w:rPr/>
    </w:lvl>
    <w:lvl w:ilvl="6">
      <w:start w:val="1"/>
      <w:numFmt w:val="bullet"/>
      <w:lvlText w:val="•"/>
      <w:lvlJc w:val="left"/>
      <w:pPr>
        <w:ind w:left="5587" w:hanging="375"/>
      </w:pPr>
      <w:rPr/>
    </w:lvl>
    <w:lvl w:ilvl="7">
      <w:start w:val="1"/>
      <w:numFmt w:val="bullet"/>
      <w:lvlText w:val="•"/>
      <w:lvlJc w:val="left"/>
      <w:pPr>
        <w:ind w:left="6440" w:hanging="375"/>
      </w:pPr>
      <w:rPr/>
    </w:lvl>
    <w:lvl w:ilvl="8">
      <w:start w:val="1"/>
      <w:numFmt w:val="bullet"/>
      <w:lvlText w:val="•"/>
      <w:lvlJc w:val="left"/>
      <w:pPr>
        <w:ind w:left="7293" w:hanging="375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64" w:hanging="37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17" w:hanging="370.0000000000001"/>
      </w:pPr>
      <w:rPr/>
    </w:lvl>
    <w:lvl w:ilvl="2">
      <w:start w:val="1"/>
      <w:numFmt w:val="bullet"/>
      <w:lvlText w:val="•"/>
      <w:lvlJc w:val="left"/>
      <w:pPr>
        <w:ind w:left="2171" w:hanging="370"/>
      </w:pPr>
      <w:rPr/>
    </w:lvl>
    <w:lvl w:ilvl="3">
      <w:start w:val="1"/>
      <w:numFmt w:val="bullet"/>
      <w:lvlText w:val="•"/>
      <w:lvlJc w:val="left"/>
      <w:pPr>
        <w:ind w:left="3024" w:hanging="370"/>
      </w:pPr>
      <w:rPr/>
    </w:lvl>
    <w:lvl w:ilvl="4">
      <w:start w:val="1"/>
      <w:numFmt w:val="bullet"/>
      <w:lvlText w:val="•"/>
      <w:lvlJc w:val="left"/>
      <w:pPr>
        <w:ind w:left="3878" w:hanging="370"/>
      </w:pPr>
      <w:rPr/>
    </w:lvl>
    <w:lvl w:ilvl="5">
      <w:start w:val="1"/>
      <w:numFmt w:val="bullet"/>
      <w:lvlText w:val="•"/>
      <w:lvlJc w:val="left"/>
      <w:pPr>
        <w:ind w:left="4731" w:hanging="370"/>
      </w:pPr>
      <w:rPr/>
    </w:lvl>
    <w:lvl w:ilvl="6">
      <w:start w:val="1"/>
      <w:numFmt w:val="bullet"/>
      <w:lvlText w:val="•"/>
      <w:lvlJc w:val="left"/>
      <w:pPr>
        <w:ind w:left="5585" w:hanging="370"/>
      </w:pPr>
      <w:rPr/>
    </w:lvl>
    <w:lvl w:ilvl="7">
      <w:start w:val="1"/>
      <w:numFmt w:val="bullet"/>
      <w:lvlText w:val="•"/>
      <w:lvlJc w:val="left"/>
      <w:pPr>
        <w:ind w:left="6438" w:hanging="370"/>
      </w:pPr>
      <w:rPr/>
    </w:lvl>
    <w:lvl w:ilvl="8">
      <w:start w:val="1"/>
      <w:numFmt w:val="bullet"/>
      <w:lvlText w:val="•"/>
      <w:lvlJc w:val="left"/>
      <w:pPr>
        <w:ind w:left="7292" w:hanging="370"/>
      </w:pPr>
      <w:rPr/>
    </w:lvl>
  </w:abstractNum>
  <w:abstractNum w:abstractNumId="6">
    <w:lvl w:ilvl="0">
      <w:start w:val="1"/>
      <w:numFmt w:val="upperRoman"/>
      <w:lvlText w:val="%1."/>
      <w:lvlJc w:val="left"/>
      <w:pPr>
        <w:ind w:left="3901" w:hanging="703.9999999999995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bullet"/>
      <w:lvlText w:val="•"/>
      <w:lvlJc w:val="left"/>
      <w:pPr>
        <w:ind w:left="4411" w:hanging="703.9999999999995"/>
      </w:pPr>
      <w:rPr/>
    </w:lvl>
    <w:lvl w:ilvl="2">
      <w:start w:val="1"/>
      <w:numFmt w:val="bullet"/>
      <w:lvlText w:val="•"/>
      <w:lvlJc w:val="left"/>
      <w:pPr>
        <w:ind w:left="4921" w:hanging="704"/>
      </w:pPr>
      <w:rPr/>
    </w:lvl>
    <w:lvl w:ilvl="3">
      <w:start w:val="1"/>
      <w:numFmt w:val="bullet"/>
      <w:lvlText w:val="•"/>
      <w:lvlJc w:val="left"/>
      <w:pPr>
        <w:ind w:left="5431" w:hanging="704"/>
      </w:pPr>
      <w:rPr/>
    </w:lvl>
    <w:lvl w:ilvl="4">
      <w:start w:val="1"/>
      <w:numFmt w:val="bullet"/>
      <w:lvlText w:val="•"/>
      <w:lvlJc w:val="left"/>
      <w:pPr>
        <w:ind w:left="5940" w:hanging="704"/>
      </w:pPr>
      <w:rPr/>
    </w:lvl>
    <w:lvl w:ilvl="5">
      <w:start w:val="1"/>
      <w:numFmt w:val="bullet"/>
      <w:lvlText w:val="•"/>
      <w:lvlJc w:val="left"/>
      <w:pPr>
        <w:ind w:left="6450" w:hanging="704"/>
      </w:pPr>
      <w:rPr/>
    </w:lvl>
    <w:lvl w:ilvl="6">
      <w:start w:val="1"/>
      <w:numFmt w:val="bullet"/>
      <w:lvlText w:val="•"/>
      <w:lvlJc w:val="left"/>
      <w:pPr>
        <w:ind w:left="6960" w:hanging="704"/>
      </w:pPr>
      <w:rPr/>
    </w:lvl>
    <w:lvl w:ilvl="7">
      <w:start w:val="1"/>
      <w:numFmt w:val="bullet"/>
      <w:lvlText w:val="•"/>
      <w:lvlJc w:val="left"/>
      <w:pPr>
        <w:ind w:left="7469" w:hanging="704"/>
      </w:pPr>
      <w:rPr/>
    </w:lvl>
    <w:lvl w:ilvl="8">
      <w:start w:val="1"/>
      <w:numFmt w:val="bullet"/>
      <w:lvlText w:val="•"/>
      <w:lvlJc w:val="left"/>
      <w:pPr>
        <w:ind w:left="7979" w:hanging="704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76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28" w:hanging="359.9999999999999"/>
      </w:pPr>
      <w:rPr/>
    </w:lvl>
    <w:lvl w:ilvl="2">
      <w:start w:val="1"/>
      <w:numFmt w:val="bullet"/>
      <w:lvlText w:val="•"/>
      <w:lvlJc w:val="left"/>
      <w:pPr>
        <w:ind w:left="2180" w:hanging="360"/>
      </w:pPr>
      <w:rPr/>
    </w:lvl>
    <w:lvl w:ilvl="3">
      <w:start w:val="1"/>
      <w:numFmt w:val="bullet"/>
      <w:lvlText w:val="•"/>
      <w:lvlJc w:val="left"/>
      <w:pPr>
        <w:ind w:left="3033" w:hanging="360"/>
      </w:pPr>
      <w:rPr/>
    </w:lvl>
    <w:lvl w:ilvl="4">
      <w:start w:val="1"/>
      <w:numFmt w:val="bullet"/>
      <w:lvlText w:val="•"/>
      <w:lvlJc w:val="left"/>
      <w:pPr>
        <w:ind w:left="3885" w:hanging="360"/>
      </w:pPr>
      <w:rPr/>
    </w:lvl>
    <w:lvl w:ilvl="5">
      <w:start w:val="1"/>
      <w:numFmt w:val="bullet"/>
      <w:lvlText w:val="•"/>
      <w:lvlJc w:val="left"/>
      <w:pPr>
        <w:ind w:left="4737" w:hanging="360"/>
      </w:pPr>
      <w:rPr/>
    </w:lvl>
    <w:lvl w:ilvl="6">
      <w:start w:val="1"/>
      <w:numFmt w:val="bullet"/>
      <w:lvlText w:val="•"/>
      <w:lvlJc w:val="left"/>
      <w:pPr>
        <w:ind w:left="5590" w:hanging="360"/>
      </w:pPr>
      <w:rPr/>
    </w:lvl>
    <w:lvl w:ilvl="7">
      <w:start w:val="1"/>
      <w:numFmt w:val="bullet"/>
      <w:lvlText w:val="•"/>
      <w:lvlJc w:val="left"/>
      <w:pPr>
        <w:ind w:left="6442" w:hanging="360"/>
      </w:pPr>
      <w:rPr/>
    </w:lvl>
    <w:lvl w:ilvl="8">
      <w:start w:val="1"/>
      <w:numFmt w:val="bullet"/>
      <w:lvlText w:val="•"/>
      <w:lvlJc w:val="left"/>
      <w:pPr>
        <w:ind w:left="7294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469" w:hanging="425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22" w:hanging="425.0000000000001"/>
      </w:pPr>
      <w:rPr/>
    </w:lvl>
    <w:lvl w:ilvl="2">
      <w:start w:val="1"/>
      <w:numFmt w:val="bullet"/>
      <w:lvlText w:val="•"/>
      <w:lvlJc w:val="left"/>
      <w:pPr>
        <w:ind w:left="2175" w:hanging="425"/>
      </w:pPr>
      <w:rPr/>
    </w:lvl>
    <w:lvl w:ilvl="3">
      <w:start w:val="1"/>
      <w:numFmt w:val="bullet"/>
      <w:lvlText w:val="•"/>
      <w:lvlJc w:val="left"/>
      <w:pPr>
        <w:ind w:left="3028" w:hanging="425"/>
      </w:pPr>
      <w:rPr/>
    </w:lvl>
    <w:lvl w:ilvl="4">
      <w:start w:val="1"/>
      <w:numFmt w:val="bullet"/>
      <w:lvlText w:val="•"/>
      <w:lvlJc w:val="left"/>
      <w:pPr>
        <w:ind w:left="3881" w:hanging="425"/>
      </w:pPr>
      <w:rPr/>
    </w:lvl>
    <w:lvl w:ilvl="5">
      <w:start w:val="1"/>
      <w:numFmt w:val="bullet"/>
      <w:lvlText w:val="•"/>
      <w:lvlJc w:val="left"/>
      <w:pPr>
        <w:ind w:left="4734" w:hanging="425"/>
      </w:pPr>
      <w:rPr/>
    </w:lvl>
    <w:lvl w:ilvl="6">
      <w:start w:val="1"/>
      <w:numFmt w:val="bullet"/>
      <w:lvlText w:val="•"/>
      <w:lvlJc w:val="left"/>
      <w:pPr>
        <w:ind w:left="5587" w:hanging="425"/>
      </w:pPr>
      <w:rPr/>
    </w:lvl>
    <w:lvl w:ilvl="7">
      <w:start w:val="1"/>
      <w:numFmt w:val="bullet"/>
      <w:lvlText w:val="•"/>
      <w:lvlJc w:val="left"/>
      <w:pPr>
        <w:ind w:left="6440" w:hanging="425"/>
      </w:pPr>
      <w:rPr/>
    </w:lvl>
    <w:lvl w:ilvl="8">
      <w:start w:val="1"/>
      <w:numFmt w:val="bullet"/>
      <w:lvlText w:val="•"/>
      <w:lvlJc w:val="left"/>
      <w:pPr>
        <w:ind w:left="7293" w:hanging="425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476" w:hanging="375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28" w:hanging="374.9999999999999"/>
      </w:pPr>
      <w:rPr/>
    </w:lvl>
    <w:lvl w:ilvl="2">
      <w:start w:val="1"/>
      <w:numFmt w:val="bullet"/>
      <w:lvlText w:val="•"/>
      <w:lvlJc w:val="left"/>
      <w:pPr>
        <w:ind w:left="2180" w:hanging="375"/>
      </w:pPr>
      <w:rPr/>
    </w:lvl>
    <w:lvl w:ilvl="3">
      <w:start w:val="1"/>
      <w:numFmt w:val="bullet"/>
      <w:lvlText w:val="•"/>
      <w:lvlJc w:val="left"/>
      <w:pPr>
        <w:ind w:left="3033" w:hanging="375"/>
      </w:pPr>
      <w:rPr/>
    </w:lvl>
    <w:lvl w:ilvl="4">
      <w:start w:val="1"/>
      <w:numFmt w:val="bullet"/>
      <w:lvlText w:val="•"/>
      <w:lvlJc w:val="left"/>
      <w:pPr>
        <w:ind w:left="3885" w:hanging="375"/>
      </w:pPr>
      <w:rPr/>
    </w:lvl>
    <w:lvl w:ilvl="5">
      <w:start w:val="1"/>
      <w:numFmt w:val="bullet"/>
      <w:lvlText w:val="•"/>
      <w:lvlJc w:val="left"/>
      <w:pPr>
        <w:ind w:left="4737" w:hanging="375"/>
      </w:pPr>
      <w:rPr/>
    </w:lvl>
    <w:lvl w:ilvl="6">
      <w:start w:val="1"/>
      <w:numFmt w:val="bullet"/>
      <w:lvlText w:val="•"/>
      <w:lvlJc w:val="left"/>
      <w:pPr>
        <w:ind w:left="5590" w:hanging="375"/>
      </w:pPr>
      <w:rPr/>
    </w:lvl>
    <w:lvl w:ilvl="7">
      <w:start w:val="1"/>
      <w:numFmt w:val="bullet"/>
      <w:lvlText w:val="•"/>
      <w:lvlJc w:val="left"/>
      <w:pPr>
        <w:ind w:left="6442" w:hanging="375"/>
      </w:pPr>
      <w:rPr/>
    </w:lvl>
    <w:lvl w:ilvl="8">
      <w:start w:val="1"/>
      <w:numFmt w:val="bullet"/>
      <w:lvlText w:val="•"/>
      <w:lvlJc w:val="left"/>
      <w:pPr>
        <w:ind w:left="7294" w:hanging="37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6" w:hanging="715"/>
    </w:pPr>
    <w:rPr>
      <w:rFonts w:ascii="Calibri" w:cs="Calibri" w:eastAsia="Calibri" w:hAnsi="Calibri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footer" Target="footer1.xml"/><Relationship Id="rId13" Type="http://schemas.openxmlformats.org/officeDocument/2006/relationships/image" Target="media/image4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8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