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BF" w:rsidRPr="00E4523E" w:rsidRDefault="00F331CB" w:rsidP="00E4523E">
      <w:pPr>
        <w:tabs>
          <w:tab w:val="left" w:pos="2670"/>
          <w:tab w:val="center" w:pos="4535"/>
        </w:tabs>
        <w:spacing w:line="260" w:lineRule="atLeast"/>
        <w:jc w:val="center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  <w:r w:rsidRPr="002A0527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DODATEK Č. </w:t>
      </w:r>
      <w:r w:rsidR="004020AA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4</w:t>
      </w:r>
      <w:r w:rsid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045ABF" w:rsidRPr="00045AB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KE SMLOUVĚ </w:t>
      </w:r>
      <w:r w:rsidR="00E4523E" w:rsidRP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NA REALIZACI VEŘEJNÉ ZAKÁZKY</w:t>
      </w:r>
      <w:r w:rsidR="00E4523E" w:rsidRPr="004E2024">
        <w:rPr>
          <w:rFonts w:cs="Arial"/>
          <w:bCs/>
          <w:color w:val="000000"/>
        </w:rPr>
        <w:t xml:space="preserve"> </w:t>
      </w:r>
    </w:p>
    <w:p w:rsidR="00E4523E" w:rsidRDefault="00E4523E" w:rsidP="00045ABF">
      <w:pPr>
        <w:pStyle w:val="Identifikacestran"/>
        <w:spacing w:line="260" w:lineRule="atLeast"/>
        <w:jc w:val="left"/>
        <w:rPr>
          <w:rFonts w:ascii="Arial" w:hAnsi="Arial" w:cs="Arial"/>
          <w:bCs/>
          <w:color w:val="000000"/>
          <w:szCs w:val="24"/>
          <w:lang w:eastAsia="cs-CZ"/>
        </w:rPr>
      </w:pPr>
    </w:p>
    <w:p w:rsidR="00045ABF" w:rsidRPr="00867F69" w:rsidRDefault="00E4523E" w:rsidP="00E4523E">
      <w:pPr>
        <w:pStyle w:val="Identifikacestran"/>
        <w:spacing w:line="260" w:lineRule="atLeast"/>
        <w:jc w:val="center"/>
        <w:rPr>
          <w:rFonts w:ascii="Arial" w:hAnsi="Arial" w:cs="Arial"/>
          <w:b/>
          <w:color w:val="000000"/>
          <w:sz w:val="32"/>
        </w:rPr>
      </w:pPr>
      <w:r w:rsidRPr="00867F69">
        <w:rPr>
          <w:rFonts w:ascii="Arial" w:hAnsi="Arial" w:cs="Arial"/>
          <w:b/>
          <w:bCs/>
          <w:color w:val="000000"/>
          <w:sz w:val="28"/>
          <w:szCs w:val="24"/>
          <w:lang w:eastAsia="cs-CZ"/>
        </w:rPr>
        <w:t>„Pilotní projekt dramaturgického inkubátoru“</w:t>
      </w:r>
    </w:p>
    <w:p w:rsidR="00EC46A4" w:rsidRDefault="00EC46A4" w:rsidP="00045ABF">
      <w:pPr>
        <w:tabs>
          <w:tab w:val="left" w:pos="1890"/>
        </w:tabs>
        <w:spacing w:line="260" w:lineRule="atLeast"/>
        <w:rPr>
          <w:rFonts w:cs="Arial"/>
          <w:b/>
        </w:rPr>
      </w:pPr>
    </w:p>
    <w:p w:rsidR="004C0F7E" w:rsidRPr="000E1EAE" w:rsidRDefault="004C0F7E" w:rsidP="00B55F51">
      <w:pPr>
        <w:tabs>
          <w:tab w:val="left" w:pos="1890"/>
        </w:tabs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Níže uvedeného dne, měsíce a roku:</w:t>
      </w:r>
    </w:p>
    <w:p w:rsidR="004C0F7E" w:rsidRPr="000E1EAE" w:rsidRDefault="004C0F7E" w:rsidP="00B55F51">
      <w:pPr>
        <w:tabs>
          <w:tab w:val="left" w:pos="1890"/>
        </w:tabs>
        <w:spacing w:line="240" w:lineRule="atLeast"/>
        <w:rPr>
          <w:rFonts w:cs="Arial"/>
          <w:b/>
          <w:sz w:val="20"/>
          <w:szCs w:val="20"/>
        </w:rPr>
      </w:pP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b/>
          <w:color w:val="000000"/>
          <w:sz w:val="20"/>
        </w:rPr>
      </w:pPr>
      <w:r w:rsidRPr="000E1EAE">
        <w:rPr>
          <w:rFonts w:ascii="Arial" w:hAnsi="Arial" w:cs="Arial"/>
          <w:b/>
          <w:color w:val="000000"/>
          <w:sz w:val="20"/>
        </w:rPr>
        <w:t>Státní fond kinematografie</w:t>
      </w: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se sídlem: Dukelských hrdinů 530/47, Holešovice, 170 00 Praha 7</w:t>
      </w:r>
    </w:p>
    <w:p w:rsidR="00066FB2" w:rsidRDefault="00E4523E" w:rsidP="00B55F51">
      <w:pPr>
        <w:pStyle w:val="Identifikacestran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IČO: 01454455  </w:t>
      </w:r>
    </w:p>
    <w:p w:rsidR="00E4523E" w:rsidRPr="000E1EAE" w:rsidRDefault="00E4523E" w:rsidP="00B55F51">
      <w:pPr>
        <w:pStyle w:val="Identifikacestran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zapsaný v obchodním rejstříku vedeném Městským soudem v Praze pod </w:t>
      </w:r>
      <w:proofErr w:type="spellStart"/>
      <w:r w:rsidRPr="000E1EAE">
        <w:rPr>
          <w:rFonts w:ascii="Arial" w:hAnsi="Arial" w:cs="Arial"/>
          <w:color w:val="000000"/>
          <w:sz w:val="20"/>
        </w:rPr>
        <w:t>sp</w:t>
      </w:r>
      <w:proofErr w:type="spellEnd"/>
      <w:r w:rsidRPr="000E1EAE">
        <w:rPr>
          <w:rFonts w:ascii="Arial" w:hAnsi="Arial" w:cs="Arial"/>
          <w:color w:val="000000"/>
          <w:sz w:val="20"/>
        </w:rPr>
        <w:t>. zn. A 76076</w:t>
      </w:r>
    </w:p>
    <w:p w:rsidR="00E4523E" w:rsidRPr="000E1EAE" w:rsidRDefault="00E4523E" w:rsidP="00B55F51">
      <w:pPr>
        <w:pStyle w:val="Identifikacestran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zastoupený: Mgr. Helenou Bezděk Fraňkovou, ředitelkou </w:t>
      </w: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(dále jen „</w:t>
      </w:r>
      <w:r w:rsidRPr="000E1EAE">
        <w:rPr>
          <w:rFonts w:ascii="Arial" w:hAnsi="Arial" w:cs="Arial"/>
          <w:b/>
          <w:color w:val="000000"/>
          <w:sz w:val="20"/>
        </w:rPr>
        <w:t>Objednatel</w:t>
      </w:r>
      <w:r w:rsidRPr="000E1EAE">
        <w:rPr>
          <w:rFonts w:ascii="Arial" w:hAnsi="Arial" w:cs="Arial"/>
          <w:color w:val="000000"/>
          <w:sz w:val="20"/>
        </w:rPr>
        <w:t>“)</w:t>
      </w: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B55F51">
      <w:pPr>
        <w:pStyle w:val="Identifikacestran"/>
        <w:spacing w:line="240" w:lineRule="atLeas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</w:t>
      </w:r>
    </w:p>
    <w:p w:rsidR="00E4523E" w:rsidRPr="000E1EAE" w:rsidRDefault="00E4523E" w:rsidP="00B55F51">
      <w:pPr>
        <w:pStyle w:val="Smluvnstrana"/>
        <w:spacing w:line="240" w:lineRule="atLeast"/>
        <w:jc w:val="lef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B55F51">
      <w:pPr>
        <w:pStyle w:val="Smluvnstrana"/>
        <w:spacing w:line="240" w:lineRule="atLeast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Akademie múzických umění v Praze</w:t>
      </w:r>
    </w:p>
    <w:p w:rsidR="00E4523E" w:rsidRPr="000E1EAE" w:rsidRDefault="00E4523E" w:rsidP="00B55F51">
      <w:pPr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se sídlem: Praha 1, Malostranské nám. 259/12, PSČ 118 00</w:t>
      </w:r>
    </w:p>
    <w:p w:rsidR="00E4523E" w:rsidRPr="000E1EAE" w:rsidRDefault="00E4523E" w:rsidP="00B55F51">
      <w:pPr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IČO: 61384984, DIČ: CZ61384984</w:t>
      </w:r>
    </w:p>
    <w:p w:rsidR="00045ABF" w:rsidRPr="000E1EAE" w:rsidRDefault="00E4523E" w:rsidP="00B55F51">
      <w:pPr>
        <w:tabs>
          <w:tab w:val="right" w:pos="9072"/>
          <w:tab w:val="right" w:pos="9360"/>
        </w:tabs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Veřejná vysoká š</w:t>
      </w:r>
      <w:r w:rsidR="004020AA">
        <w:rPr>
          <w:rFonts w:cs="Arial"/>
          <w:color w:val="000000"/>
          <w:sz w:val="20"/>
          <w:szCs w:val="20"/>
        </w:rPr>
        <w:t>kola dle zákona č. 111/1998 Sb.</w:t>
      </w:r>
      <w:r w:rsidRPr="000E1EAE">
        <w:rPr>
          <w:rFonts w:cs="Arial"/>
          <w:color w:val="000000"/>
          <w:sz w:val="20"/>
          <w:szCs w:val="20"/>
        </w:rPr>
        <w:t xml:space="preserve"> ve znění pozdějších předpisů</w:t>
      </w:r>
    </w:p>
    <w:p w:rsidR="00E4523E" w:rsidRPr="000E1EAE" w:rsidRDefault="00E4523E" w:rsidP="00B55F51">
      <w:pPr>
        <w:tabs>
          <w:tab w:val="right" w:pos="9072"/>
          <w:tab w:val="right" w:pos="9360"/>
        </w:tabs>
        <w:spacing w:line="240" w:lineRule="atLeast"/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 xml:space="preserve">zastoupena: doc. Janem </w:t>
      </w:r>
      <w:proofErr w:type="spellStart"/>
      <w:r w:rsidRPr="000E1EAE">
        <w:rPr>
          <w:rFonts w:cs="Arial"/>
          <w:color w:val="000000"/>
          <w:sz w:val="20"/>
          <w:szCs w:val="20"/>
        </w:rPr>
        <w:t>Hančilem</w:t>
      </w:r>
      <w:proofErr w:type="spellEnd"/>
      <w:r w:rsidRPr="000E1EAE">
        <w:rPr>
          <w:rFonts w:cs="Arial"/>
          <w:color w:val="000000"/>
          <w:sz w:val="20"/>
          <w:szCs w:val="20"/>
        </w:rPr>
        <w:t>, rektorem</w:t>
      </w:r>
    </w:p>
    <w:p w:rsidR="00346385" w:rsidRPr="000E1EAE" w:rsidRDefault="00346385" w:rsidP="00B55F51">
      <w:pPr>
        <w:spacing w:line="240" w:lineRule="atLeast"/>
        <w:rPr>
          <w:rFonts w:cs="Arial"/>
          <w:sz w:val="20"/>
          <w:szCs w:val="20"/>
        </w:rPr>
      </w:pPr>
    </w:p>
    <w:p w:rsidR="00E4523E" w:rsidRPr="000E1EAE" w:rsidRDefault="00E4523E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Dodavatel</w:t>
      </w:r>
      <w:r w:rsidRPr="000E1EAE">
        <w:rPr>
          <w:rFonts w:cs="Arial"/>
          <w:sz w:val="20"/>
          <w:szCs w:val="20"/>
        </w:rPr>
        <w:t>“)</w:t>
      </w:r>
    </w:p>
    <w:p w:rsidR="00E4523E" w:rsidRPr="000E1EAE" w:rsidRDefault="00E4523E" w:rsidP="00B55F51">
      <w:pPr>
        <w:spacing w:line="240" w:lineRule="atLeast"/>
        <w:rPr>
          <w:rFonts w:cs="Arial"/>
          <w:sz w:val="20"/>
          <w:szCs w:val="20"/>
        </w:rPr>
      </w:pPr>
    </w:p>
    <w:p w:rsidR="00346385" w:rsidRPr="000E1EAE" w:rsidRDefault="00346385" w:rsidP="00B55F51">
      <w:pPr>
        <w:spacing w:line="240" w:lineRule="atLeast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sz w:val="20"/>
          <w:szCs w:val="20"/>
        </w:rPr>
        <w:t>(</w:t>
      </w:r>
      <w:r w:rsidR="00E4523E" w:rsidRPr="000E1EAE">
        <w:rPr>
          <w:rFonts w:cs="Arial"/>
          <w:sz w:val="20"/>
          <w:szCs w:val="20"/>
        </w:rPr>
        <w:t xml:space="preserve">Objednatel a Dodavatel </w:t>
      </w:r>
      <w:r w:rsidRPr="000E1EAE">
        <w:rPr>
          <w:rFonts w:cs="Arial"/>
          <w:color w:val="000000"/>
          <w:sz w:val="20"/>
          <w:szCs w:val="20"/>
        </w:rPr>
        <w:t>společně dále jen „</w:t>
      </w:r>
      <w:r w:rsidRPr="000E1EAE">
        <w:rPr>
          <w:rFonts w:cs="Arial"/>
          <w:b/>
          <w:color w:val="000000"/>
          <w:sz w:val="20"/>
          <w:szCs w:val="20"/>
        </w:rPr>
        <w:t>Smluvní strany</w:t>
      </w:r>
      <w:r w:rsidR="00E4523E" w:rsidRPr="000E1EAE">
        <w:rPr>
          <w:rFonts w:cs="Arial"/>
          <w:color w:val="000000"/>
          <w:sz w:val="20"/>
          <w:szCs w:val="20"/>
        </w:rPr>
        <w:t>“ nebo každý</w:t>
      </w:r>
      <w:r w:rsidRPr="000E1EAE">
        <w:rPr>
          <w:rFonts w:cs="Arial"/>
          <w:color w:val="000000"/>
          <w:sz w:val="20"/>
          <w:szCs w:val="20"/>
        </w:rPr>
        <w:t xml:space="preserve"> jednotlivě „</w:t>
      </w:r>
      <w:r w:rsidRPr="000E1EAE">
        <w:rPr>
          <w:rFonts w:cs="Arial"/>
          <w:b/>
          <w:color w:val="000000"/>
          <w:sz w:val="20"/>
          <w:szCs w:val="20"/>
        </w:rPr>
        <w:t>Smluvní strana</w:t>
      </w:r>
      <w:r w:rsidRPr="000E1EAE">
        <w:rPr>
          <w:rFonts w:cs="Arial"/>
          <w:color w:val="000000"/>
          <w:sz w:val="20"/>
          <w:szCs w:val="20"/>
        </w:rPr>
        <w:t>“)</w:t>
      </w:r>
    </w:p>
    <w:p w:rsidR="00763EA1" w:rsidRPr="000E1EAE" w:rsidRDefault="00763EA1" w:rsidP="00B55F51">
      <w:pPr>
        <w:spacing w:line="240" w:lineRule="atLeast"/>
        <w:rPr>
          <w:rFonts w:cs="Arial"/>
          <w:sz w:val="20"/>
          <w:szCs w:val="20"/>
        </w:rPr>
      </w:pPr>
    </w:p>
    <w:p w:rsidR="002A0527" w:rsidRPr="000E1EAE" w:rsidRDefault="002A0527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uzavírají tento:</w:t>
      </w:r>
    </w:p>
    <w:p w:rsidR="00763EA1" w:rsidRPr="000E1EAE" w:rsidRDefault="00763EA1" w:rsidP="00B55F51">
      <w:pPr>
        <w:spacing w:line="240" w:lineRule="atLeast"/>
        <w:rPr>
          <w:rFonts w:cs="Arial"/>
          <w:sz w:val="20"/>
          <w:szCs w:val="20"/>
        </w:rPr>
      </w:pPr>
    </w:p>
    <w:p w:rsidR="00045ABF" w:rsidRPr="000E1EAE" w:rsidRDefault="002A0527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 xml:space="preserve">Dodatek </w:t>
      </w:r>
      <w:r w:rsidR="00C17B04" w:rsidRPr="000E1EAE">
        <w:rPr>
          <w:rFonts w:cs="Arial"/>
          <w:sz w:val="20"/>
          <w:szCs w:val="20"/>
        </w:rPr>
        <w:t xml:space="preserve">č. </w:t>
      </w:r>
      <w:r w:rsidR="00C62E4D">
        <w:rPr>
          <w:rFonts w:cs="Arial"/>
          <w:sz w:val="20"/>
          <w:szCs w:val="20"/>
        </w:rPr>
        <w:t>4</w:t>
      </w:r>
      <w:r w:rsidR="00066FB2">
        <w:rPr>
          <w:rFonts w:cs="Arial"/>
          <w:sz w:val="20"/>
          <w:szCs w:val="20"/>
        </w:rPr>
        <w:t xml:space="preserve"> </w:t>
      </w:r>
      <w:r w:rsidRPr="000E1EAE">
        <w:rPr>
          <w:rFonts w:cs="Arial"/>
          <w:sz w:val="20"/>
          <w:szCs w:val="20"/>
        </w:rPr>
        <w:t>k</w:t>
      </w:r>
      <w:r w:rsidR="00045ABF" w:rsidRPr="000E1EAE">
        <w:rPr>
          <w:rFonts w:cs="Arial"/>
          <w:sz w:val="20"/>
          <w:szCs w:val="20"/>
        </w:rPr>
        <w:t xml:space="preserve">e smlouvě na realizaci veřejné zakázky </w:t>
      </w:r>
    </w:p>
    <w:p w:rsidR="002A0527" w:rsidRPr="000E1EAE" w:rsidRDefault="00045ABF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„</w:t>
      </w:r>
      <w:r w:rsidR="00C17B04" w:rsidRPr="000E1EAE">
        <w:rPr>
          <w:rFonts w:cs="Arial"/>
          <w:sz w:val="20"/>
          <w:szCs w:val="20"/>
        </w:rPr>
        <w:t>Pilotní projekt dramaturgického inkubátoru</w:t>
      </w:r>
      <w:r w:rsidRPr="000E1EAE">
        <w:rPr>
          <w:rFonts w:cs="Arial"/>
          <w:sz w:val="20"/>
          <w:szCs w:val="20"/>
        </w:rPr>
        <w:t>“</w:t>
      </w:r>
      <w:r w:rsidR="002A0527" w:rsidRPr="000E1EAE">
        <w:rPr>
          <w:rFonts w:cs="Arial"/>
          <w:sz w:val="20"/>
          <w:szCs w:val="20"/>
        </w:rPr>
        <w:t xml:space="preserve"> </w:t>
      </w:r>
    </w:p>
    <w:p w:rsidR="002A0527" w:rsidRPr="000E1EAE" w:rsidRDefault="002A0527" w:rsidP="00B55F51">
      <w:pPr>
        <w:spacing w:before="120"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Dodatek</w:t>
      </w:r>
      <w:r w:rsidRPr="000E1EAE">
        <w:rPr>
          <w:rFonts w:cs="Arial"/>
          <w:sz w:val="20"/>
          <w:szCs w:val="20"/>
        </w:rPr>
        <w:t>“):</w:t>
      </w:r>
    </w:p>
    <w:p w:rsidR="00EC46A4" w:rsidRPr="000E1EAE" w:rsidRDefault="00EC46A4" w:rsidP="00B55F51">
      <w:pPr>
        <w:spacing w:line="240" w:lineRule="atLeast"/>
        <w:rPr>
          <w:rFonts w:cs="Arial"/>
          <w:sz w:val="20"/>
          <w:szCs w:val="20"/>
        </w:rPr>
      </w:pPr>
    </w:p>
    <w:p w:rsidR="000E1EAE" w:rsidRPr="000E1EAE" w:rsidRDefault="009E0F8F" w:rsidP="00B55F51">
      <w:pPr>
        <w:spacing w:line="24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takto</w:t>
      </w:r>
      <w:r w:rsidR="004C0F7E" w:rsidRPr="000E1EAE">
        <w:rPr>
          <w:rFonts w:cs="Arial"/>
          <w:sz w:val="20"/>
          <w:szCs w:val="20"/>
        </w:rPr>
        <w:t>:</w:t>
      </w:r>
    </w:p>
    <w:p w:rsidR="00832BC7" w:rsidRPr="002A3821" w:rsidRDefault="00832BC7" w:rsidP="00B55F51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4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úvodní ustanovení</w:t>
      </w:r>
    </w:p>
    <w:p w:rsidR="00832BC7" w:rsidRPr="002A3821" w:rsidRDefault="00832BC7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Smluvní strany uzavřely dne </w:t>
      </w:r>
      <w:r w:rsidR="00E6700A" w:rsidRPr="002A3821">
        <w:rPr>
          <w:rFonts w:eastAsia="Times New Roman" w:cs="Arial"/>
          <w:sz w:val="20"/>
          <w:szCs w:val="20"/>
          <w:lang w:eastAsia="x-none"/>
        </w:rPr>
        <w:t>23.10.2017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smlouvu</w:t>
      </w:r>
      <w:r w:rsidR="00346385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na realizaci veřejné zakázky </w:t>
      </w:r>
      <w:r w:rsidR="00E6700A" w:rsidRPr="002A3821">
        <w:rPr>
          <w:rFonts w:cs="Arial"/>
          <w:sz w:val="20"/>
          <w:szCs w:val="20"/>
        </w:rPr>
        <w:t>„Pilotní projekt dramaturgického inkubátoru</w:t>
      </w:r>
      <w:r w:rsidR="00066FB2">
        <w:rPr>
          <w:rFonts w:cs="Arial"/>
          <w:sz w:val="20"/>
          <w:szCs w:val="20"/>
        </w:rPr>
        <w:t>“ ve znění dodatku č. 1 ze dne 31.1.2018</w:t>
      </w:r>
      <w:r w:rsidR="004020AA">
        <w:rPr>
          <w:rFonts w:cs="Arial"/>
          <w:sz w:val="20"/>
          <w:szCs w:val="20"/>
        </w:rPr>
        <w:t xml:space="preserve">, </w:t>
      </w:r>
      <w:r w:rsidR="0031469C">
        <w:rPr>
          <w:rFonts w:cs="Arial"/>
          <w:sz w:val="20"/>
          <w:szCs w:val="20"/>
        </w:rPr>
        <w:t>dodatku č. 2 ze dne 23.10.2018</w:t>
      </w:r>
      <w:r w:rsidR="004020AA">
        <w:rPr>
          <w:rFonts w:cs="Arial"/>
          <w:sz w:val="20"/>
          <w:szCs w:val="20"/>
        </w:rPr>
        <w:t xml:space="preserve"> a dodatku č. 3 ze dne </w:t>
      </w:r>
      <w:r w:rsidR="00C62E4D">
        <w:rPr>
          <w:rFonts w:cs="Arial"/>
          <w:sz w:val="20"/>
          <w:szCs w:val="20"/>
        </w:rPr>
        <w:t>15.3.2019</w:t>
      </w:r>
      <w:r w:rsidR="00045ABF" w:rsidRPr="002A3821">
        <w:rPr>
          <w:rFonts w:cs="Arial"/>
          <w:sz w:val="20"/>
          <w:szCs w:val="20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(dále jen „</w:t>
      </w:r>
      <w:r w:rsidRPr="002A3821">
        <w:rPr>
          <w:rFonts w:eastAsia="Times New Roman" w:cs="Arial"/>
          <w:b/>
          <w:sz w:val="20"/>
          <w:szCs w:val="20"/>
          <w:lang w:val="x-none" w:eastAsia="x-none"/>
        </w:rPr>
        <w:t>Smlouva</w:t>
      </w:r>
      <w:r w:rsidRPr="002A3821">
        <w:rPr>
          <w:rFonts w:eastAsia="Times New Roman" w:cs="Arial"/>
          <w:sz w:val="20"/>
          <w:szCs w:val="20"/>
          <w:lang w:val="x-none" w:eastAsia="x-none"/>
        </w:rPr>
        <w:t>“).</w:t>
      </w:r>
      <w:r w:rsidR="007B0E10">
        <w:rPr>
          <w:rFonts w:eastAsia="Times New Roman" w:cs="Arial"/>
          <w:sz w:val="20"/>
          <w:szCs w:val="20"/>
          <w:lang w:eastAsia="x-none"/>
        </w:rPr>
        <w:t xml:space="preserve"> </w:t>
      </w:r>
      <w:r w:rsidR="007B0E10" w:rsidRPr="007B0E10">
        <w:rPr>
          <w:rFonts w:eastAsia="Times New Roman" w:cs="Arial"/>
          <w:sz w:val="20"/>
          <w:szCs w:val="20"/>
          <w:lang w:eastAsia="x-none"/>
        </w:rPr>
        <w:t>Pojmy používané v</w:t>
      </w:r>
      <w:r w:rsidR="007B0E10">
        <w:rPr>
          <w:rFonts w:eastAsia="Times New Roman" w:cs="Arial"/>
          <w:sz w:val="20"/>
          <w:szCs w:val="20"/>
          <w:lang w:eastAsia="x-none"/>
        </w:rPr>
        <w:t> tomto Dodatku</w:t>
      </w:r>
      <w:r w:rsidR="007B0E10" w:rsidRPr="007B0E10">
        <w:rPr>
          <w:rFonts w:eastAsia="Times New Roman" w:cs="Arial"/>
          <w:sz w:val="20"/>
          <w:szCs w:val="20"/>
          <w:lang w:eastAsia="x-none"/>
        </w:rPr>
        <w:t xml:space="preserve"> s velkým počátečním písmenem mají shodný význam jakožto pojmy používané a definované s velkým počátečním písmenem ve Smlouvě, není-li výslovně uvedeno jinak</w:t>
      </w:r>
    </w:p>
    <w:p w:rsidR="00251D77" w:rsidRPr="002A3821" w:rsidRDefault="00836F3E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Účelem tohoto Dodatku ke Smlouvě je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sjednání nepodstatných změn závazků ze Smlouvy podle § 222 odst. 4 </w:t>
      </w:r>
      <w:r w:rsidR="00066FB2">
        <w:rPr>
          <w:rFonts w:eastAsia="Times New Roman" w:cs="Arial"/>
          <w:sz w:val="20"/>
          <w:szCs w:val="20"/>
          <w:lang w:eastAsia="x-none"/>
        </w:rPr>
        <w:t>zákona č. 134/2016 Sb., o zadávání veřejných zakázek, ve znění pozdějších předpisů (dále jen „</w:t>
      </w:r>
      <w:r w:rsidR="00066FB2" w:rsidRPr="00066FB2">
        <w:rPr>
          <w:rFonts w:eastAsia="Times New Roman" w:cs="Arial"/>
          <w:b/>
          <w:sz w:val="20"/>
          <w:szCs w:val="20"/>
          <w:lang w:eastAsia="x-none"/>
        </w:rPr>
        <w:t>ZZVZ</w:t>
      </w:r>
      <w:r w:rsidR="00066FB2">
        <w:rPr>
          <w:rFonts w:eastAsia="Times New Roman" w:cs="Arial"/>
          <w:sz w:val="20"/>
          <w:szCs w:val="20"/>
          <w:lang w:eastAsia="x-none"/>
        </w:rPr>
        <w:t>“)</w:t>
      </w:r>
      <w:r w:rsidRPr="002A3821">
        <w:rPr>
          <w:rFonts w:eastAsia="Times New Roman" w:cs="Arial"/>
          <w:sz w:val="20"/>
          <w:szCs w:val="20"/>
          <w:lang w:eastAsia="x-none"/>
        </w:rPr>
        <w:t>, když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:</w:t>
      </w:r>
    </w:p>
    <w:p w:rsidR="00251D77" w:rsidRPr="00382D19" w:rsidRDefault="00867F69" w:rsidP="00B55F5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382D19">
        <w:rPr>
          <w:rFonts w:eastAsia="Times New Roman" w:cs="Arial"/>
          <w:sz w:val="20"/>
          <w:szCs w:val="20"/>
          <w:lang w:eastAsia="x-none"/>
        </w:rPr>
        <w:t xml:space="preserve">tyto změny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nemění celkovou povahu veřejné zakázky</w:t>
      </w:r>
      <w:r w:rsidR="00251D77" w:rsidRPr="00382D19">
        <w:rPr>
          <w:rFonts w:eastAsia="Times New Roman" w:cs="Arial"/>
          <w:sz w:val="20"/>
          <w:szCs w:val="20"/>
          <w:lang w:eastAsia="x-none"/>
        </w:rPr>
        <w:t xml:space="preserve">, </w:t>
      </w:r>
      <w:r w:rsidR="00EE368F">
        <w:rPr>
          <w:rFonts w:eastAsia="Times New Roman" w:cs="Arial"/>
          <w:sz w:val="20"/>
          <w:szCs w:val="20"/>
          <w:lang w:eastAsia="x-none"/>
        </w:rPr>
        <w:t>neboť</w:t>
      </w:r>
      <w:r w:rsidR="00382D19">
        <w:rPr>
          <w:rFonts w:eastAsia="Times New Roman" w:cs="Arial"/>
          <w:sz w:val="20"/>
          <w:szCs w:val="20"/>
          <w:lang w:eastAsia="x-none"/>
        </w:rPr>
        <w:t xml:space="preserve"> nedochází ke změně </w:t>
      </w:r>
      <w:r w:rsidR="00F365DA">
        <w:rPr>
          <w:rFonts w:eastAsia="Times New Roman" w:cs="Arial"/>
          <w:sz w:val="20"/>
          <w:szCs w:val="20"/>
          <w:lang w:eastAsia="x-none"/>
        </w:rPr>
        <w:t xml:space="preserve">v povaze </w:t>
      </w:r>
      <w:r w:rsidR="00382D19">
        <w:rPr>
          <w:rFonts w:eastAsia="Times New Roman" w:cs="Arial"/>
          <w:sz w:val="20"/>
          <w:szCs w:val="20"/>
          <w:lang w:eastAsia="x-none"/>
        </w:rPr>
        <w:t>předmětu plnění</w:t>
      </w:r>
      <w:r w:rsidR="00066FB2" w:rsidRPr="00382D19">
        <w:rPr>
          <w:rFonts w:eastAsia="Times New Roman" w:cs="Arial"/>
          <w:sz w:val="20"/>
          <w:szCs w:val="20"/>
          <w:lang w:eastAsia="x-none"/>
        </w:rPr>
        <w:t>;</w:t>
      </w:r>
    </w:p>
    <w:p w:rsidR="00836F3E" w:rsidRPr="00382D19" w:rsidRDefault="00D57F23" w:rsidP="00B55F5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382D19">
        <w:rPr>
          <w:rFonts w:eastAsia="Times New Roman" w:cs="Arial"/>
          <w:sz w:val="20"/>
          <w:szCs w:val="20"/>
          <w:lang w:eastAsia="x-none"/>
        </w:rPr>
        <w:t xml:space="preserve">nedochází ke změně Ceny a/nebo poskytnutí jakýchkoliv jiných plnění ze strany Objednatele jakožto zadavatele, a tedy </w:t>
      </w:r>
      <w:r w:rsidR="00836F3E" w:rsidRPr="00382D19">
        <w:rPr>
          <w:rFonts w:eastAsia="Times New Roman" w:cs="Arial"/>
          <w:sz w:val="20"/>
          <w:szCs w:val="20"/>
          <w:lang w:val="x-none" w:eastAsia="x-none"/>
        </w:rPr>
        <w:t xml:space="preserve">hodnota změn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je nižší než finanční limit pro nadlimitní veřejnou zakázku a</w:t>
      </w:r>
      <w:r w:rsidR="00836F3E" w:rsidRPr="00382D19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zároveň je nižší než</w:t>
      </w:r>
      <w:r w:rsidR="00251D77" w:rsidRPr="00382D19">
        <w:rPr>
          <w:rFonts w:eastAsia="Times New Roman" w:cs="Arial"/>
          <w:sz w:val="20"/>
          <w:szCs w:val="20"/>
          <w:lang w:eastAsia="x-none"/>
        </w:rPr>
        <w:t xml:space="preserve"> deseti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 xml:space="preserve">procentní limit </w:t>
      </w:r>
      <w:r w:rsidR="00836F3E" w:rsidRPr="00382D19">
        <w:rPr>
          <w:rFonts w:eastAsia="Times New Roman" w:cs="Arial"/>
          <w:sz w:val="20"/>
          <w:szCs w:val="20"/>
          <w:lang w:val="x-none" w:eastAsia="x-none"/>
        </w:rPr>
        <w:t>původní hodnoty závazku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 xml:space="preserve"> ze </w:t>
      </w:r>
      <w:r w:rsidRPr="00382D19">
        <w:rPr>
          <w:rFonts w:eastAsia="Times New Roman" w:cs="Arial"/>
          <w:sz w:val="20"/>
          <w:szCs w:val="20"/>
          <w:lang w:eastAsia="x-none"/>
        </w:rPr>
        <w:t>S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mlouvy stanovený v</w:t>
      </w:r>
      <w:r w:rsidR="00867F69" w:rsidRPr="00382D19">
        <w:rPr>
          <w:rFonts w:eastAsia="Times New Roman" w:cs="Arial"/>
          <w:sz w:val="20"/>
          <w:szCs w:val="20"/>
          <w:lang w:eastAsia="x-none"/>
        </w:rPr>
        <w:t xml:space="preserve"> citovaném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 xml:space="preserve">  ust. </w:t>
      </w:r>
      <w:r w:rsidR="00251D77" w:rsidRPr="00382D19">
        <w:rPr>
          <w:rFonts w:eastAsia="Times New Roman" w:cs="Arial"/>
          <w:sz w:val="20"/>
          <w:szCs w:val="20"/>
          <w:lang w:eastAsia="x-none"/>
        </w:rPr>
        <w:t xml:space="preserve">§ 222 odst. 4 </w:t>
      </w:r>
      <w:r w:rsidR="00836F3E" w:rsidRPr="00382D19">
        <w:rPr>
          <w:rFonts w:eastAsia="Times New Roman" w:cs="Arial"/>
          <w:sz w:val="20"/>
          <w:szCs w:val="20"/>
          <w:lang w:eastAsia="x-none"/>
        </w:rPr>
        <w:t>ZZVZ</w:t>
      </w:r>
      <w:r w:rsidR="00867F69" w:rsidRPr="00382D19">
        <w:rPr>
          <w:rFonts w:eastAsia="Times New Roman" w:cs="Arial"/>
          <w:sz w:val="20"/>
          <w:szCs w:val="20"/>
          <w:lang w:eastAsia="x-none"/>
        </w:rPr>
        <w:t>.</w:t>
      </w:r>
    </w:p>
    <w:p w:rsidR="001419C0" w:rsidRPr="007C3D8A" w:rsidRDefault="00867F69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Změny závazků ze Smlouvy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provedené tímto Dodatkem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7C3D8A">
        <w:rPr>
          <w:rFonts w:eastAsia="Times New Roman" w:cs="Arial"/>
          <w:sz w:val="20"/>
          <w:szCs w:val="20"/>
          <w:lang w:eastAsia="x-none"/>
        </w:rPr>
        <w:t xml:space="preserve">dle § 222 odst. 4 </w:t>
      </w:r>
      <w:r w:rsidR="00F77E45">
        <w:rPr>
          <w:rFonts w:eastAsia="Times New Roman" w:cs="Arial"/>
          <w:sz w:val="20"/>
          <w:szCs w:val="20"/>
          <w:lang w:eastAsia="x-none"/>
        </w:rPr>
        <w:t xml:space="preserve">ZZVZ </w:t>
      </w:r>
      <w:r w:rsidRPr="002A3821">
        <w:rPr>
          <w:rFonts w:eastAsia="Times New Roman" w:cs="Arial"/>
          <w:sz w:val="20"/>
          <w:szCs w:val="20"/>
          <w:lang w:eastAsia="x-none"/>
        </w:rPr>
        <w:t>jsou odůvodněny</w:t>
      </w:r>
      <w:r w:rsidR="003306B7">
        <w:rPr>
          <w:rFonts w:eastAsia="Times New Roman" w:cs="Arial"/>
          <w:sz w:val="20"/>
          <w:szCs w:val="20"/>
          <w:lang w:eastAsia="x-none"/>
        </w:rPr>
        <w:t xml:space="preserve"> </w:t>
      </w:r>
      <w:r w:rsidR="00F365DA">
        <w:rPr>
          <w:rFonts w:eastAsia="Times New Roman" w:cs="Arial"/>
          <w:sz w:val="20"/>
          <w:szCs w:val="20"/>
          <w:lang w:eastAsia="x-none"/>
        </w:rPr>
        <w:t xml:space="preserve">snahou </w:t>
      </w:r>
      <w:r w:rsidR="00C061CB">
        <w:rPr>
          <w:rFonts w:eastAsia="Times New Roman" w:cs="Arial"/>
          <w:sz w:val="20"/>
          <w:szCs w:val="20"/>
          <w:lang w:eastAsia="x-none"/>
        </w:rPr>
        <w:t>Smluvních stran</w:t>
      </w:r>
      <w:r w:rsidR="00F365DA">
        <w:rPr>
          <w:rFonts w:eastAsia="Times New Roman" w:cs="Arial"/>
          <w:sz w:val="20"/>
          <w:szCs w:val="20"/>
          <w:lang w:eastAsia="x-none"/>
        </w:rPr>
        <w:t xml:space="preserve"> vyjít </w:t>
      </w:r>
      <w:r w:rsidR="00C061CB">
        <w:rPr>
          <w:rFonts w:eastAsia="Times New Roman" w:cs="Arial"/>
          <w:sz w:val="20"/>
          <w:szCs w:val="20"/>
          <w:lang w:eastAsia="x-none"/>
        </w:rPr>
        <w:t xml:space="preserve">v rámci </w:t>
      </w:r>
      <w:r w:rsidR="00BE57C1">
        <w:rPr>
          <w:rFonts w:eastAsia="Times New Roman" w:cs="Arial"/>
          <w:sz w:val="20"/>
          <w:szCs w:val="20"/>
          <w:lang w:eastAsia="x-none"/>
        </w:rPr>
        <w:t>dramaturgického inkubátoru</w:t>
      </w:r>
      <w:r w:rsidR="00C061CB">
        <w:rPr>
          <w:rFonts w:eastAsia="Times New Roman" w:cs="Arial"/>
          <w:sz w:val="20"/>
          <w:szCs w:val="20"/>
          <w:lang w:eastAsia="x-none"/>
        </w:rPr>
        <w:t xml:space="preserve"> </w:t>
      </w:r>
      <w:r w:rsidR="00F365DA">
        <w:rPr>
          <w:rFonts w:eastAsia="Times New Roman" w:cs="Arial"/>
          <w:sz w:val="20"/>
          <w:szCs w:val="20"/>
          <w:lang w:eastAsia="x-none"/>
        </w:rPr>
        <w:t xml:space="preserve">vstříc Spolupracujícím tvůrcům Projektu </w:t>
      </w:r>
      <w:r w:rsidR="009A3FE9" w:rsidRPr="009A3FE9">
        <w:rPr>
          <w:rFonts w:eastAsia="Times New Roman" w:cs="Arial"/>
          <w:b/>
          <w:sz w:val="20"/>
          <w:szCs w:val="20"/>
          <w:lang w:eastAsia="x-none"/>
        </w:rPr>
        <w:t>Peníze od Hitlera</w:t>
      </w:r>
      <w:r w:rsidR="00BE57C1">
        <w:rPr>
          <w:rFonts w:eastAsia="Times New Roman" w:cs="Arial"/>
          <w:sz w:val="20"/>
          <w:szCs w:val="20"/>
          <w:lang w:eastAsia="x-none"/>
        </w:rPr>
        <w:t xml:space="preserve">, kteří se z objektivních omluvitelných důvodů nemohou účastnit </w:t>
      </w:r>
      <w:proofErr w:type="spellStart"/>
      <w:r w:rsidR="00BE57C1">
        <w:rPr>
          <w:rFonts w:eastAsia="Times New Roman" w:cs="Arial"/>
          <w:sz w:val="20"/>
          <w:szCs w:val="20"/>
          <w:lang w:eastAsia="x-none"/>
        </w:rPr>
        <w:t>Wrap</w:t>
      </w:r>
      <w:proofErr w:type="spellEnd"/>
      <w:r w:rsidR="00BE57C1">
        <w:rPr>
          <w:rFonts w:eastAsia="Times New Roman" w:cs="Arial"/>
          <w:sz w:val="20"/>
          <w:szCs w:val="20"/>
          <w:lang w:eastAsia="x-none"/>
        </w:rPr>
        <w:t xml:space="preserve"> up workshopu</w:t>
      </w:r>
      <w:r w:rsidR="00F365DA">
        <w:rPr>
          <w:rFonts w:eastAsia="Times New Roman" w:cs="Arial"/>
          <w:sz w:val="20"/>
          <w:szCs w:val="20"/>
          <w:lang w:eastAsia="x-none"/>
        </w:rPr>
        <w:t>,</w:t>
      </w:r>
      <w:r w:rsidR="00BE57C1">
        <w:rPr>
          <w:rFonts w:eastAsia="Times New Roman" w:cs="Arial"/>
          <w:sz w:val="20"/>
          <w:szCs w:val="20"/>
          <w:lang w:eastAsia="x-none"/>
        </w:rPr>
        <w:t xml:space="preserve"> a to tak,</w:t>
      </w:r>
      <w:r w:rsidR="00F365DA">
        <w:rPr>
          <w:rFonts w:eastAsia="Times New Roman" w:cs="Arial"/>
          <w:sz w:val="20"/>
          <w:szCs w:val="20"/>
          <w:lang w:eastAsia="x-none"/>
        </w:rPr>
        <w:t xml:space="preserve"> aby </w:t>
      </w:r>
      <w:r w:rsidR="00C061CB">
        <w:rPr>
          <w:rFonts w:eastAsia="Times New Roman" w:cs="Arial"/>
          <w:sz w:val="20"/>
          <w:szCs w:val="20"/>
          <w:lang w:eastAsia="x-none"/>
        </w:rPr>
        <w:t xml:space="preserve">byl </w:t>
      </w:r>
      <w:r w:rsidR="007C3D8A">
        <w:rPr>
          <w:rFonts w:eastAsia="Times New Roman" w:cs="Arial"/>
          <w:sz w:val="20"/>
          <w:szCs w:val="20"/>
          <w:lang w:eastAsia="x-none"/>
        </w:rPr>
        <w:t xml:space="preserve">konzultacemi </w:t>
      </w:r>
      <w:r w:rsidR="00C061CB">
        <w:rPr>
          <w:rFonts w:eastAsia="Times New Roman" w:cs="Arial"/>
          <w:sz w:val="20"/>
          <w:szCs w:val="20"/>
          <w:lang w:eastAsia="x-none"/>
        </w:rPr>
        <w:t>naplněn účel pilotního projektu dramaturgického inkubátoru dle</w:t>
      </w:r>
      <w:r w:rsidR="00F365DA">
        <w:rPr>
          <w:rFonts w:eastAsia="Times New Roman" w:cs="Arial"/>
          <w:sz w:val="20"/>
          <w:szCs w:val="20"/>
          <w:lang w:eastAsia="x-none"/>
        </w:rPr>
        <w:t> čl.</w:t>
      </w:r>
      <w:r w:rsidR="00C061CB">
        <w:rPr>
          <w:rFonts w:eastAsia="Times New Roman" w:cs="Arial"/>
          <w:sz w:val="20"/>
          <w:szCs w:val="20"/>
          <w:lang w:eastAsia="x-none"/>
        </w:rPr>
        <w:t xml:space="preserve"> 3.3 Smlouvy.</w:t>
      </w:r>
    </w:p>
    <w:p w:rsidR="007C3D8A" w:rsidRPr="007C3D8A" w:rsidRDefault="007C3D8A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903337">
        <w:rPr>
          <w:rFonts w:eastAsia="Times New Roman" w:cs="Arial"/>
          <w:sz w:val="20"/>
          <w:szCs w:val="20"/>
          <w:lang w:eastAsia="x-none"/>
        </w:rPr>
        <w:lastRenderedPageBreak/>
        <w:t>Účelem tohoto Dodatku ke Smlouvě je</w:t>
      </w:r>
      <w:r>
        <w:rPr>
          <w:rFonts w:eastAsia="Times New Roman" w:cs="Arial"/>
          <w:sz w:val="20"/>
          <w:szCs w:val="20"/>
          <w:lang w:eastAsia="x-none"/>
        </w:rPr>
        <w:t xml:space="preserve"> dále</w:t>
      </w:r>
      <w:r w:rsidRPr="00903337">
        <w:rPr>
          <w:rFonts w:eastAsia="Times New Roman" w:cs="Arial"/>
          <w:sz w:val="20"/>
          <w:szCs w:val="20"/>
          <w:lang w:eastAsia="x-none"/>
        </w:rPr>
        <w:t xml:space="preserve"> sjednání těchto nepodstatných změn závazků ze Smlouvy podle § 222 odst. 5 ZZVZ, </w:t>
      </w:r>
      <w:r>
        <w:rPr>
          <w:rFonts w:eastAsia="Times New Roman" w:cs="Arial"/>
          <w:sz w:val="20"/>
          <w:szCs w:val="20"/>
          <w:lang w:eastAsia="x-none"/>
        </w:rPr>
        <w:t>když:</w:t>
      </w:r>
    </w:p>
    <w:p w:rsidR="007C3D8A" w:rsidRPr="007C3D8A" w:rsidRDefault="00E866F1" w:rsidP="007C3D8A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tyto dodatečné služby</w:t>
      </w:r>
      <w:r w:rsidRPr="00903337">
        <w:rPr>
          <w:rFonts w:eastAsia="Times New Roman" w:cs="Arial"/>
          <w:sz w:val="20"/>
          <w:szCs w:val="20"/>
          <w:lang w:eastAsia="x-none"/>
        </w:rPr>
        <w:t xml:space="preserve"> </w:t>
      </w:r>
      <w:r w:rsidR="007C3D8A" w:rsidRPr="00903337">
        <w:rPr>
          <w:rFonts w:eastAsia="Times New Roman" w:cs="Arial"/>
          <w:sz w:val="20"/>
          <w:szCs w:val="20"/>
          <w:lang w:eastAsia="x-none"/>
        </w:rPr>
        <w:t>nebyly zahrnuty v původním závazku ze Smlouvy</w:t>
      </w:r>
      <w:r w:rsidR="007C3D8A">
        <w:rPr>
          <w:rFonts w:eastAsia="Times New Roman" w:cs="Arial"/>
          <w:sz w:val="20"/>
          <w:szCs w:val="20"/>
          <w:lang w:eastAsia="x-none"/>
        </w:rPr>
        <w:t xml:space="preserve"> a svou podstatou nahrazují v části původně sjednaný závazek</w:t>
      </w:r>
      <w:r w:rsidR="00AF1011" w:rsidRPr="00AF1011">
        <w:rPr>
          <w:rFonts w:eastAsia="Times New Roman" w:cs="Arial"/>
          <w:sz w:val="20"/>
          <w:szCs w:val="20"/>
          <w:lang w:eastAsia="x-none"/>
        </w:rPr>
        <w:t xml:space="preserve"> </w:t>
      </w:r>
      <w:r w:rsidR="00AF1011">
        <w:rPr>
          <w:rFonts w:eastAsia="Times New Roman" w:cs="Arial"/>
          <w:sz w:val="20"/>
          <w:szCs w:val="20"/>
          <w:lang w:eastAsia="x-none"/>
        </w:rPr>
        <w:t>(viz změny dle dodatku č. 3 ke Smlouvě) a rozšiřují stávající služby (rozsah konzultací a Workshopů);</w:t>
      </w:r>
    </w:p>
    <w:p w:rsidR="007C3D8A" w:rsidRPr="007C3D8A" w:rsidRDefault="00E866F1" w:rsidP="002078B3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tyto dodatečné služby </w:t>
      </w:r>
      <w:r w:rsidR="007C3D8A">
        <w:rPr>
          <w:rFonts w:eastAsia="Times New Roman" w:cs="Arial"/>
          <w:sz w:val="20"/>
          <w:szCs w:val="20"/>
          <w:lang w:eastAsia="x-none"/>
        </w:rPr>
        <w:t>jsou nezbytn</w:t>
      </w:r>
      <w:r w:rsidR="00DE16EE">
        <w:rPr>
          <w:rFonts w:eastAsia="Times New Roman" w:cs="Arial"/>
          <w:sz w:val="20"/>
          <w:szCs w:val="20"/>
          <w:lang w:eastAsia="x-none"/>
        </w:rPr>
        <w:t>é pro naplnění účelu Smlouvy a d</w:t>
      </w:r>
      <w:r w:rsidR="007C3D8A">
        <w:rPr>
          <w:rFonts w:eastAsia="Times New Roman" w:cs="Arial"/>
          <w:sz w:val="20"/>
          <w:szCs w:val="20"/>
          <w:lang w:eastAsia="x-none"/>
        </w:rPr>
        <w:t xml:space="preserve">ramaturgického inkubátoru jak je vymezen v čl. 3.3 Smlouvy, kdy bez jejich poskytnutí </w:t>
      </w:r>
      <w:r w:rsidR="00AF1854">
        <w:rPr>
          <w:rFonts w:eastAsia="Times New Roman" w:cs="Arial"/>
          <w:sz w:val="20"/>
          <w:szCs w:val="20"/>
          <w:lang w:eastAsia="x-none"/>
        </w:rPr>
        <w:t>by nebyl</w:t>
      </w:r>
      <w:r w:rsidR="002078B3">
        <w:rPr>
          <w:rFonts w:eastAsia="Times New Roman" w:cs="Arial"/>
          <w:sz w:val="20"/>
          <w:szCs w:val="20"/>
          <w:lang w:eastAsia="x-none"/>
        </w:rPr>
        <w:t xml:space="preserve">y završeny práce na Projektech v rámci druhého cyklu a výchova Adeptů (osvojení a aplikace získaných schopností a dovedností v oblasti </w:t>
      </w:r>
      <w:r w:rsidR="002078B3" w:rsidRPr="002078B3">
        <w:rPr>
          <w:rFonts w:eastAsia="Times New Roman" w:cs="Arial"/>
          <w:sz w:val="20"/>
          <w:szCs w:val="20"/>
          <w:lang w:eastAsia="x-none"/>
        </w:rPr>
        <w:t>dramaturgie projektů</w:t>
      </w:r>
      <w:r w:rsidR="002078B3">
        <w:rPr>
          <w:rFonts w:eastAsia="Times New Roman" w:cs="Arial"/>
          <w:sz w:val="20"/>
          <w:szCs w:val="20"/>
          <w:lang w:eastAsia="x-none"/>
        </w:rPr>
        <w:t xml:space="preserve">), přičemž by zároveň nebyla </w:t>
      </w:r>
      <w:r w:rsidR="002078B3" w:rsidRPr="002078B3">
        <w:rPr>
          <w:rFonts w:eastAsia="Times New Roman" w:cs="Arial"/>
          <w:sz w:val="20"/>
          <w:szCs w:val="20"/>
          <w:lang w:eastAsia="x-none"/>
        </w:rPr>
        <w:t xml:space="preserve">poskytnuta </w:t>
      </w:r>
      <w:r w:rsidR="002078B3">
        <w:rPr>
          <w:rFonts w:eastAsia="Times New Roman" w:cs="Arial"/>
          <w:sz w:val="20"/>
          <w:szCs w:val="20"/>
          <w:lang w:eastAsia="x-none"/>
        </w:rPr>
        <w:t xml:space="preserve">Spolupracujícím tvůrcům v druhém cyklu </w:t>
      </w:r>
      <w:r w:rsidR="00DE16EE">
        <w:rPr>
          <w:rFonts w:eastAsia="Times New Roman" w:cs="Arial"/>
          <w:sz w:val="20"/>
          <w:szCs w:val="20"/>
          <w:lang w:eastAsia="x-none"/>
        </w:rPr>
        <w:t>d</w:t>
      </w:r>
      <w:r w:rsidR="002078B3">
        <w:rPr>
          <w:rFonts w:eastAsia="Times New Roman" w:cs="Arial"/>
          <w:sz w:val="20"/>
          <w:szCs w:val="20"/>
          <w:lang w:eastAsia="x-none"/>
        </w:rPr>
        <w:t xml:space="preserve">ramaturgického inkubátoru </w:t>
      </w:r>
      <w:r w:rsidR="002078B3" w:rsidRPr="002078B3">
        <w:rPr>
          <w:rFonts w:eastAsia="Times New Roman" w:cs="Arial"/>
          <w:sz w:val="20"/>
          <w:szCs w:val="20"/>
          <w:lang w:eastAsia="x-none"/>
        </w:rPr>
        <w:t>fundovaná a dlouhodobá dramaturgická podpora, která jim pomůže dopracovat scénář do kvalitnější podoby a prohloubí jejich pohled na praxi vývoje scénářů</w:t>
      </w:r>
      <w:r>
        <w:rPr>
          <w:rFonts w:eastAsia="Times New Roman" w:cs="Arial"/>
          <w:sz w:val="20"/>
          <w:szCs w:val="20"/>
          <w:lang w:eastAsia="x-none"/>
        </w:rPr>
        <w:t>;</w:t>
      </w:r>
    </w:p>
    <w:p w:rsidR="00E866F1" w:rsidRPr="00E866F1" w:rsidRDefault="007C3D8A" w:rsidP="007C3D8A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903337">
        <w:rPr>
          <w:rFonts w:eastAsia="Times New Roman" w:cs="Arial"/>
          <w:sz w:val="20"/>
          <w:szCs w:val="20"/>
          <w:lang w:eastAsia="x-none"/>
        </w:rPr>
        <w:t>změna v osobě dodavatele není možná z ekonomických a technických důvodů</w:t>
      </w:r>
      <w:r w:rsidR="00E866F1">
        <w:rPr>
          <w:rFonts w:eastAsia="Times New Roman" w:cs="Arial"/>
          <w:sz w:val="20"/>
          <w:szCs w:val="20"/>
          <w:lang w:eastAsia="x-none"/>
        </w:rPr>
        <w:t xml:space="preserve">, kdy pro naplnění účelu </w:t>
      </w:r>
      <w:r w:rsidR="00DD3451">
        <w:rPr>
          <w:rFonts w:eastAsia="Times New Roman" w:cs="Arial"/>
          <w:sz w:val="20"/>
          <w:szCs w:val="20"/>
          <w:lang w:eastAsia="x-none"/>
        </w:rPr>
        <w:t>d</w:t>
      </w:r>
      <w:r w:rsidR="00E866F1">
        <w:rPr>
          <w:rFonts w:eastAsia="Times New Roman" w:cs="Arial"/>
          <w:sz w:val="20"/>
          <w:szCs w:val="20"/>
          <w:lang w:eastAsia="x-none"/>
        </w:rPr>
        <w:t>ramaturgického inkubátoru</w:t>
      </w:r>
      <w:r w:rsidR="00740F55">
        <w:rPr>
          <w:rFonts w:eastAsia="Times New Roman" w:cs="Arial"/>
          <w:sz w:val="20"/>
          <w:szCs w:val="20"/>
          <w:lang w:eastAsia="x-none"/>
        </w:rPr>
        <w:t xml:space="preserve"> a poskytnutí komplexních služeb dramaturgů</w:t>
      </w:r>
      <w:r w:rsidR="00E866F1">
        <w:rPr>
          <w:rFonts w:eastAsia="Times New Roman" w:cs="Arial"/>
          <w:sz w:val="20"/>
          <w:szCs w:val="20"/>
          <w:lang w:eastAsia="x-none"/>
        </w:rPr>
        <w:t xml:space="preserve"> je nezbytné poskytnutí </w:t>
      </w:r>
      <w:r w:rsidR="0092552D">
        <w:rPr>
          <w:rFonts w:eastAsia="Times New Roman" w:cs="Arial"/>
          <w:sz w:val="20"/>
          <w:szCs w:val="20"/>
          <w:lang w:eastAsia="x-none"/>
        </w:rPr>
        <w:t xml:space="preserve">dodatečných </w:t>
      </w:r>
      <w:r w:rsidR="00E866F1">
        <w:rPr>
          <w:rFonts w:eastAsia="Times New Roman" w:cs="Arial"/>
          <w:sz w:val="20"/>
          <w:szCs w:val="20"/>
          <w:lang w:eastAsia="x-none"/>
        </w:rPr>
        <w:t xml:space="preserve">služeb právě prostřednictvím </w:t>
      </w:r>
      <w:r w:rsidR="00740F55">
        <w:rPr>
          <w:rFonts w:eastAsia="Times New Roman" w:cs="Arial"/>
          <w:sz w:val="20"/>
          <w:szCs w:val="20"/>
          <w:lang w:eastAsia="x-none"/>
        </w:rPr>
        <w:t xml:space="preserve">konkrétních </w:t>
      </w:r>
      <w:r w:rsidR="00E866F1">
        <w:rPr>
          <w:rFonts w:eastAsia="Times New Roman" w:cs="Arial"/>
          <w:sz w:val="20"/>
          <w:szCs w:val="20"/>
          <w:lang w:eastAsia="x-none"/>
        </w:rPr>
        <w:t xml:space="preserve">Lektorů a </w:t>
      </w:r>
      <w:proofErr w:type="spellStart"/>
      <w:r w:rsidR="00E866F1">
        <w:rPr>
          <w:rFonts w:eastAsia="Times New Roman" w:cs="Arial"/>
          <w:sz w:val="20"/>
          <w:szCs w:val="20"/>
          <w:lang w:eastAsia="x-none"/>
        </w:rPr>
        <w:t>Head</w:t>
      </w:r>
      <w:proofErr w:type="spellEnd"/>
      <w:r w:rsidR="00E866F1">
        <w:rPr>
          <w:rFonts w:eastAsia="Times New Roman" w:cs="Arial"/>
          <w:sz w:val="20"/>
          <w:szCs w:val="20"/>
          <w:lang w:eastAsia="x-none"/>
        </w:rPr>
        <w:t xml:space="preserve"> </w:t>
      </w:r>
      <w:proofErr w:type="spellStart"/>
      <w:r w:rsidR="00E866F1">
        <w:rPr>
          <w:rFonts w:eastAsia="Times New Roman" w:cs="Arial"/>
          <w:sz w:val="20"/>
          <w:szCs w:val="20"/>
          <w:lang w:eastAsia="x-none"/>
        </w:rPr>
        <w:t>of</w:t>
      </w:r>
      <w:proofErr w:type="spellEnd"/>
      <w:r w:rsidR="00E866F1">
        <w:rPr>
          <w:rFonts w:eastAsia="Times New Roman" w:cs="Arial"/>
          <w:sz w:val="20"/>
          <w:szCs w:val="20"/>
          <w:lang w:eastAsia="x-none"/>
        </w:rPr>
        <w:t xml:space="preserve"> </w:t>
      </w:r>
      <w:proofErr w:type="spellStart"/>
      <w:r w:rsidR="00E866F1">
        <w:rPr>
          <w:rFonts w:eastAsia="Times New Roman" w:cs="Arial"/>
          <w:sz w:val="20"/>
          <w:szCs w:val="20"/>
          <w:lang w:eastAsia="x-none"/>
        </w:rPr>
        <w:t>studies</w:t>
      </w:r>
      <w:proofErr w:type="spellEnd"/>
      <w:r w:rsidR="00E866F1">
        <w:rPr>
          <w:rFonts w:eastAsia="Times New Roman" w:cs="Arial"/>
          <w:sz w:val="20"/>
          <w:szCs w:val="20"/>
          <w:lang w:eastAsia="x-none"/>
        </w:rPr>
        <w:t xml:space="preserve">, </w:t>
      </w:r>
      <w:r w:rsidR="00740F55">
        <w:rPr>
          <w:rFonts w:eastAsia="Times New Roman" w:cs="Arial"/>
          <w:sz w:val="20"/>
          <w:szCs w:val="20"/>
          <w:lang w:eastAsia="x-none"/>
        </w:rPr>
        <w:t>jejichž prostřednictvím Dodavatel poskytoval a poskytuje Služby dle Smlouvy</w:t>
      </w:r>
      <w:r w:rsidR="0092552D">
        <w:rPr>
          <w:rFonts w:eastAsia="Times New Roman" w:cs="Arial"/>
          <w:sz w:val="20"/>
          <w:szCs w:val="20"/>
          <w:lang w:eastAsia="x-none"/>
        </w:rPr>
        <w:t>, a to právě s ohledem na nezbytnost návaznosti poskytovaných služeb stejnými osobami</w:t>
      </w:r>
      <w:r w:rsidR="00C0404C">
        <w:rPr>
          <w:rFonts w:eastAsia="Times New Roman" w:cs="Arial"/>
          <w:sz w:val="20"/>
          <w:szCs w:val="20"/>
          <w:lang w:eastAsia="x-none"/>
        </w:rPr>
        <w:t xml:space="preserve"> (např. </w:t>
      </w:r>
      <w:r w:rsidR="00F67C54">
        <w:rPr>
          <w:rFonts w:eastAsia="Times New Roman" w:cs="Arial"/>
          <w:sz w:val="20"/>
          <w:szCs w:val="20"/>
          <w:lang w:eastAsia="x-none"/>
        </w:rPr>
        <w:t>nelze vyměnit Lektora jakožto dramaturga v průběhu poskytovaných Služeb a dokončit tak konzultace a zapracování připomínek</w:t>
      </w:r>
      <w:r w:rsidR="00B34B6B">
        <w:rPr>
          <w:rFonts w:eastAsia="Times New Roman" w:cs="Arial"/>
          <w:sz w:val="20"/>
          <w:szCs w:val="20"/>
          <w:lang w:eastAsia="x-none"/>
        </w:rPr>
        <w:t xml:space="preserve"> původního Lektora</w:t>
      </w:r>
      <w:r w:rsidR="00F67C54">
        <w:rPr>
          <w:rFonts w:eastAsia="Times New Roman" w:cs="Arial"/>
          <w:sz w:val="20"/>
          <w:szCs w:val="20"/>
          <w:lang w:eastAsia="x-none"/>
        </w:rPr>
        <w:t xml:space="preserve"> jiným dramaturgem na pozici Lektora)</w:t>
      </w:r>
      <w:r w:rsidR="00740F55">
        <w:rPr>
          <w:rFonts w:eastAsia="Times New Roman" w:cs="Arial"/>
          <w:sz w:val="20"/>
          <w:szCs w:val="20"/>
          <w:lang w:eastAsia="x-none"/>
        </w:rPr>
        <w:t>;</w:t>
      </w:r>
    </w:p>
    <w:p w:rsidR="00E866F1" w:rsidRPr="00E866F1" w:rsidRDefault="00E866F1" w:rsidP="007C3D8A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změna v osobě dodavatele by </w:t>
      </w:r>
      <w:r w:rsidR="007C3D8A" w:rsidRPr="00903337">
        <w:rPr>
          <w:rFonts w:eastAsia="Times New Roman" w:cs="Arial"/>
          <w:sz w:val="20"/>
          <w:szCs w:val="20"/>
          <w:lang w:eastAsia="x-none"/>
        </w:rPr>
        <w:t xml:space="preserve">způsobila zadavateli značné obtíže nebo výrazné zvýšení nákladů, </w:t>
      </w:r>
      <w:r w:rsidR="00740F55">
        <w:rPr>
          <w:rFonts w:eastAsia="Times New Roman" w:cs="Arial"/>
          <w:sz w:val="20"/>
          <w:szCs w:val="20"/>
          <w:lang w:eastAsia="x-none"/>
        </w:rPr>
        <w:t xml:space="preserve">kdy pro naplnění účelu Dramaturgického inkubátoru a poskytnutí vysoce odborných služeb </w:t>
      </w:r>
      <w:r w:rsidR="0092552D">
        <w:rPr>
          <w:rFonts w:eastAsia="Times New Roman" w:cs="Arial"/>
          <w:sz w:val="20"/>
          <w:szCs w:val="20"/>
          <w:lang w:eastAsia="x-none"/>
        </w:rPr>
        <w:t>mezinárodně</w:t>
      </w:r>
      <w:r w:rsidR="00740F55">
        <w:rPr>
          <w:rFonts w:eastAsia="Times New Roman" w:cs="Arial"/>
          <w:sz w:val="20"/>
          <w:szCs w:val="20"/>
          <w:lang w:eastAsia="x-none"/>
        </w:rPr>
        <w:t xml:space="preserve"> renomovaných dramaturgů by v případě změny dodavatele musely být opakovány již poskytnuté Služby (tj. poskytnuty nové individuální konzultace a Workshopy</w:t>
      </w:r>
      <w:r w:rsidR="0092552D">
        <w:rPr>
          <w:rFonts w:eastAsia="Times New Roman" w:cs="Arial"/>
          <w:sz w:val="20"/>
          <w:szCs w:val="20"/>
          <w:lang w:eastAsia="x-none"/>
        </w:rPr>
        <w:t xml:space="preserve"> pro druhý cyklus</w:t>
      </w:r>
      <w:r w:rsidR="00740F55">
        <w:rPr>
          <w:rFonts w:eastAsia="Times New Roman" w:cs="Arial"/>
          <w:sz w:val="20"/>
          <w:szCs w:val="20"/>
          <w:lang w:eastAsia="x-none"/>
        </w:rPr>
        <w:t>)</w:t>
      </w:r>
      <w:r w:rsidR="00C0404C">
        <w:rPr>
          <w:rFonts w:eastAsia="Times New Roman" w:cs="Arial"/>
          <w:sz w:val="20"/>
          <w:szCs w:val="20"/>
          <w:lang w:eastAsia="x-none"/>
        </w:rPr>
        <w:t xml:space="preserve"> včetně času a nákladů na seznámení se nových dramaturgů s Projekty a jejich dosavadním vývojem</w:t>
      </w:r>
      <w:r w:rsidR="00740F55">
        <w:rPr>
          <w:rFonts w:eastAsia="Times New Roman" w:cs="Arial"/>
          <w:sz w:val="20"/>
          <w:szCs w:val="20"/>
          <w:lang w:eastAsia="x-none"/>
        </w:rPr>
        <w:t>, neboť se přístup jednotlivých dramaturgů a jejich užité metody mohou výrazně lišit;</w:t>
      </w:r>
    </w:p>
    <w:p w:rsidR="007C3D8A" w:rsidRPr="00740F55" w:rsidRDefault="007C3D8A" w:rsidP="00E866F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903337">
        <w:rPr>
          <w:rFonts w:eastAsia="Times New Roman" w:cs="Arial"/>
          <w:sz w:val="20"/>
          <w:szCs w:val="20"/>
          <w:lang w:eastAsia="x-none"/>
        </w:rPr>
        <w:t xml:space="preserve">hodnota změn v součtu </w:t>
      </w:r>
      <w:r w:rsidR="00E866F1" w:rsidRPr="00E866F1">
        <w:rPr>
          <w:rFonts w:eastAsia="Times New Roman" w:cs="Arial"/>
          <w:sz w:val="20"/>
          <w:szCs w:val="20"/>
          <w:lang w:eastAsia="x-none"/>
        </w:rPr>
        <w:t>nepřekročí 50 % původní hodnoty závazk</w:t>
      </w:r>
      <w:r w:rsidR="00E866F1">
        <w:rPr>
          <w:rFonts w:eastAsia="Times New Roman" w:cs="Arial"/>
          <w:sz w:val="20"/>
          <w:szCs w:val="20"/>
          <w:lang w:eastAsia="x-none"/>
        </w:rPr>
        <w:t>u a zároveň je dodržen i limit dle § 222 odst. 9 zákona.</w:t>
      </w:r>
    </w:p>
    <w:p w:rsidR="00740F55" w:rsidRPr="00790C08" w:rsidRDefault="00F77E45" w:rsidP="00790C0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 xml:space="preserve">Změny závazků ze Smlouvy provedené tímto Dodatkem </w:t>
      </w:r>
      <w:r>
        <w:rPr>
          <w:rFonts w:eastAsia="Times New Roman" w:cs="Arial"/>
          <w:sz w:val="20"/>
          <w:szCs w:val="20"/>
          <w:lang w:eastAsia="x-none"/>
        </w:rPr>
        <w:t xml:space="preserve">dle § 222 odst. 5 ZZVZ </w:t>
      </w:r>
      <w:r w:rsidRPr="002A3821">
        <w:rPr>
          <w:rFonts w:eastAsia="Times New Roman" w:cs="Arial"/>
          <w:sz w:val="20"/>
          <w:szCs w:val="20"/>
          <w:lang w:eastAsia="x-none"/>
        </w:rPr>
        <w:t>jsou odůvodněny</w:t>
      </w:r>
      <w:r>
        <w:rPr>
          <w:rFonts w:eastAsia="Times New Roman" w:cs="Arial"/>
          <w:sz w:val="20"/>
          <w:szCs w:val="20"/>
          <w:lang w:eastAsia="x-none"/>
        </w:rPr>
        <w:t xml:space="preserve"> snahou Smluvních stran naplnit účel</w:t>
      </w:r>
      <w:r w:rsidR="00DE16EE">
        <w:rPr>
          <w:rFonts w:eastAsia="Times New Roman" w:cs="Arial"/>
          <w:sz w:val="20"/>
          <w:szCs w:val="20"/>
          <w:lang w:eastAsia="x-none"/>
        </w:rPr>
        <w:t xml:space="preserve"> d</w:t>
      </w:r>
      <w:r w:rsidR="00790C08">
        <w:rPr>
          <w:rFonts w:eastAsia="Times New Roman" w:cs="Arial"/>
          <w:sz w:val="20"/>
          <w:szCs w:val="20"/>
          <w:lang w:eastAsia="x-none"/>
        </w:rPr>
        <w:t>ramaturgického inkubátoru, kdy bez jejich poskytnutí by nedošlo k poskytnutí Služeb v rámci druhého cyklu v potřebném rozsahu</w:t>
      </w:r>
      <w:r w:rsidR="00DE16EE">
        <w:rPr>
          <w:rFonts w:eastAsia="Times New Roman" w:cs="Arial"/>
          <w:sz w:val="20"/>
          <w:szCs w:val="20"/>
          <w:lang w:eastAsia="x-none"/>
        </w:rPr>
        <w:t xml:space="preserve"> (jak vyplývá ze zkušeností s Projekty v prvním cyklu) </w:t>
      </w:r>
      <w:r w:rsidR="00790C08">
        <w:rPr>
          <w:rFonts w:eastAsia="Times New Roman" w:cs="Arial"/>
          <w:sz w:val="20"/>
          <w:szCs w:val="20"/>
          <w:lang w:eastAsia="x-none"/>
        </w:rPr>
        <w:t>a dosavadní činnost na Projekt</w:t>
      </w:r>
      <w:r w:rsidR="00DD3451">
        <w:rPr>
          <w:rFonts w:eastAsia="Times New Roman" w:cs="Arial"/>
          <w:sz w:val="20"/>
          <w:szCs w:val="20"/>
          <w:lang w:eastAsia="x-none"/>
        </w:rPr>
        <w:t>ech</w:t>
      </w:r>
      <w:r w:rsidR="00790C08">
        <w:rPr>
          <w:rFonts w:eastAsia="Times New Roman" w:cs="Arial"/>
          <w:sz w:val="20"/>
          <w:szCs w:val="20"/>
          <w:lang w:eastAsia="x-none"/>
        </w:rPr>
        <w:t xml:space="preserve"> a</w:t>
      </w:r>
      <w:r w:rsidR="00DD3451">
        <w:rPr>
          <w:rFonts w:eastAsia="Times New Roman" w:cs="Arial"/>
          <w:sz w:val="20"/>
          <w:szCs w:val="20"/>
          <w:lang w:eastAsia="x-none"/>
        </w:rPr>
        <w:t xml:space="preserve"> zlepšení schopností a dovedností</w:t>
      </w:r>
      <w:r w:rsidR="00790C08">
        <w:rPr>
          <w:rFonts w:eastAsia="Times New Roman" w:cs="Arial"/>
          <w:sz w:val="20"/>
          <w:szCs w:val="20"/>
          <w:lang w:eastAsia="x-none"/>
        </w:rPr>
        <w:t xml:space="preserve"> Účastníků by zůstala nezavršena. </w:t>
      </w:r>
      <w:r w:rsidR="00740F55" w:rsidRPr="00790C08">
        <w:rPr>
          <w:rFonts w:eastAsia="Times New Roman" w:cs="Arial"/>
          <w:sz w:val="20"/>
          <w:szCs w:val="20"/>
          <w:lang w:eastAsia="x-none"/>
        </w:rPr>
        <w:t xml:space="preserve">Smluvní strany </w:t>
      </w:r>
      <w:r w:rsidRPr="00790C08">
        <w:rPr>
          <w:rFonts w:eastAsia="Times New Roman" w:cs="Arial"/>
          <w:sz w:val="20"/>
          <w:szCs w:val="20"/>
          <w:lang w:eastAsia="x-none"/>
        </w:rPr>
        <w:t xml:space="preserve">zároveň </w:t>
      </w:r>
      <w:r w:rsidR="00740F55" w:rsidRPr="00790C08">
        <w:rPr>
          <w:rFonts w:eastAsia="Times New Roman" w:cs="Arial"/>
          <w:sz w:val="20"/>
          <w:szCs w:val="20"/>
          <w:lang w:eastAsia="x-none"/>
        </w:rPr>
        <w:t xml:space="preserve">prohlašují, že provedením změn dle tohoto Dodatku není navýšen celkový náklad Objednatele na Dramaturgický inkubátor dle původní smlouvy na </w:t>
      </w:r>
      <w:r w:rsidRPr="00790C08">
        <w:rPr>
          <w:rFonts w:eastAsia="Times New Roman" w:cs="Arial"/>
          <w:sz w:val="20"/>
          <w:szCs w:val="20"/>
          <w:lang w:eastAsia="x-none"/>
        </w:rPr>
        <w:t>realizaci</w:t>
      </w:r>
      <w:r w:rsidR="00740F55" w:rsidRPr="00790C08">
        <w:rPr>
          <w:rFonts w:eastAsia="Times New Roman" w:cs="Arial"/>
          <w:sz w:val="20"/>
          <w:szCs w:val="20"/>
          <w:lang w:eastAsia="x-none"/>
        </w:rPr>
        <w:t xml:space="preserve"> veřejné zakázky</w:t>
      </w:r>
      <w:r w:rsidRPr="00790C08">
        <w:rPr>
          <w:rFonts w:eastAsia="Times New Roman" w:cs="Arial"/>
          <w:sz w:val="20"/>
          <w:szCs w:val="20"/>
          <w:lang w:eastAsia="x-none"/>
        </w:rPr>
        <w:t xml:space="preserve"> ve znění před uzavřením dodatků, kdy dodatečné služby sjednané tímto Dodatkem jsou </w:t>
      </w:r>
      <w:r w:rsidRPr="00330DCF">
        <w:rPr>
          <w:rFonts w:eastAsia="Times New Roman" w:cs="Arial"/>
          <w:sz w:val="20"/>
          <w:szCs w:val="20"/>
          <w:lang w:eastAsia="x-none"/>
        </w:rPr>
        <w:t>ve stejné výši jakožto snížení ceny dle dodatku č. 3 ke smlouvě na realizaci veřejné zakázky</w:t>
      </w:r>
      <w:r w:rsidR="00740F55" w:rsidRPr="00790C08">
        <w:rPr>
          <w:rFonts w:eastAsia="Times New Roman" w:cs="Arial"/>
          <w:sz w:val="20"/>
          <w:szCs w:val="20"/>
          <w:lang w:eastAsia="x-none"/>
        </w:rPr>
        <w:t>.</w:t>
      </w:r>
    </w:p>
    <w:p w:rsidR="00C04B9A" w:rsidRPr="00C04B9A" w:rsidRDefault="00314450" w:rsidP="00B55F51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4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změn</w:t>
      </w:r>
      <w:r w:rsidR="00C82267" w:rsidRPr="002A3821">
        <w:rPr>
          <w:rFonts w:ascii="Arial" w:hAnsi="Arial" w:cs="Arial"/>
          <w:b/>
          <w:caps/>
          <w:szCs w:val="20"/>
        </w:rPr>
        <w:t>y</w:t>
      </w:r>
      <w:r w:rsidRPr="002A3821">
        <w:rPr>
          <w:rFonts w:ascii="Arial" w:hAnsi="Arial" w:cs="Arial"/>
          <w:b/>
          <w:caps/>
          <w:szCs w:val="20"/>
        </w:rPr>
        <w:t xml:space="preserve"> SMLOUVY</w:t>
      </w:r>
    </w:p>
    <w:p w:rsidR="00382D19" w:rsidRPr="00382D19" w:rsidRDefault="00232ECF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BA219E">
        <w:rPr>
          <w:rFonts w:eastAsia="Times New Roman" w:cs="Arial"/>
          <w:sz w:val="20"/>
          <w:szCs w:val="20"/>
          <w:lang w:eastAsia="x-none"/>
        </w:rPr>
        <w:t xml:space="preserve">Za ustanovení článku </w:t>
      </w:r>
      <w:r>
        <w:rPr>
          <w:rFonts w:eastAsia="Times New Roman" w:cs="Arial"/>
          <w:sz w:val="20"/>
          <w:szCs w:val="20"/>
          <w:lang w:eastAsia="x-none"/>
        </w:rPr>
        <w:t>8.6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vkládá nový článek </w:t>
      </w:r>
      <w:r>
        <w:rPr>
          <w:rFonts w:eastAsia="Times New Roman" w:cs="Arial"/>
          <w:sz w:val="20"/>
          <w:szCs w:val="20"/>
          <w:lang w:eastAsia="x-none"/>
        </w:rPr>
        <w:t>8.7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Smlouvy v tomto znění</w:t>
      </w:r>
      <w:r w:rsidRPr="002A3821">
        <w:rPr>
          <w:rFonts w:eastAsia="Times New Roman" w:cs="Arial"/>
          <w:sz w:val="20"/>
          <w:szCs w:val="20"/>
          <w:lang w:eastAsia="x-none"/>
        </w:rPr>
        <w:t>:</w:t>
      </w:r>
    </w:p>
    <w:p w:rsidR="00382D19" w:rsidRPr="00382D19" w:rsidRDefault="00382D19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="009175AA">
        <w:rPr>
          <w:rFonts w:eastAsia="Times New Roman" w:cs="Arial"/>
          <w:sz w:val="20"/>
          <w:szCs w:val="20"/>
          <w:lang w:eastAsia="x-none"/>
        </w:rPr>
        <w:t>8.</w:t>
      </w:r>
      <w:r w:rsidR="00232ECF">
        <w:rPr>
          <w:rFonts w:eastAsia="Times New Roman" w:cs="Arial"/>
          <w:sz w:val="20"/>
          <w:szCs w:val="20"/>
          <w:lang w:eastAsia="x-none"/>
        </w:rPr>
        <w:t>7</w:t>
      </w:r>
      <w:r w:rsidR="009175AA">
        <w:rPr>
          <w:rFonts w:eastAsia="Times New Roman" w:cs="Arial"/>
          <w:sz w:val="20"/>
          <w:szCs w:val="20"/>
          <w:lang w:eastAsia="x-none"/>
        </w:rPr>
        <w:t xml:space="preserve">. </w:t>
      </w:r>
      <w:r w:rsidRPr="00382D19">
        <w:rPr>
          <w:rFonts w:eastAsia="Times New Roman" w:cs="Arial"/>
          <w:sz w:val="20"/>
          <w:szCs w:val="20"/>
          <w:lang w:eastAsia="x-none"/>
        </w:rPr>
        <w:t>Dodavatel se zavazuje poskyt</w:t>
      </w:r>
      <w:r w:rsidR="000F6358">
        <w:rPr>
          <w:rFonts w:eastAsia="Times New Roman" w:cs="Arial"/>
          <w:sz w:val="20"/>
          <w:szCs w:val="20"/>
          <w:lang w:eastAsia="x-none"/>
        </w:rPr>
        <w:t>nout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 </w:t>
      </w:r>
      <w:r w:rsidR="000F6358" w:rsidRPr="00382D19">
        <w:rPr>
          <w:rFonts w:eastAsia="Times New Roman" w:cs="Arial"/>
          <w:sz w:val="20"/>
          <w:szCs w:val="20"/>
          <w:lang w:eastAsia="x-none"/>
        </w:rPr>
        <w:t>Účastníkům k</w:t>
      </w:r>
      <w:r w:rsidR="000F6358">
        <w:rPr>
          <w:rFonts w:eastAsia="Times New Roman" w:cs="Arial"/>
          <w:sz w:val="20"/>
          <w:szCs w:val="20"/>
          <w:lang w:eastAsia="x-none"/>
        </w:rPr>
        <w:t> </w:t>
      </w:r>
      <w:r w:rsidR="000F6358" w:rsidRPr="00382D19">
        <w:rPr>
          <w:rFonts w:eastAsia="Times New Roman" w:cs="Arial"/>
          <w:sz w:val="20"/>
          <w:szCs w:val="20"/>
          <w:lang w:eastAsia="x-none"/>
        </w:rPr>
        <w:t>Projekt</w:t>
      </w:r>
      <w:r w:rsidR="000F6358">
        <w:rPr>
          <w:rFonts w:eastAsia="Times New Roman" w:cs="Arial"/>
          <w:sz w:val="20"/>
          <w:szCs w:val="20"/>
          <w:lang w:eastAsia="x-none"/>
        </w:rPr>
        <w:t>u s názvem „</w:t>
      </w:r>
      <w:r w:rsidR="009A3FE9">
        <w:rPr>
          <w:rFonts w:eastAsia="Times New Roman" w:cs="Arial"/>
          <w:sz w:val="20"/>
          <w:szCs w:val="20"/>
          <w:lang w:eastAsia="x-none"/>
        </w:rPr>
        <w:t>Peníze od Hitlera</w:t>
      </w:r>
      <w:r w:rsidR="000F6358">
        <w:rPr>
          <w:rFonts w:eastAsia="Times New Roman" w:cs="Arial"/>
          <w:sz w:val="20"/>
          <w:szCs w:val="20"/>
          <w:lang w:eastAsia="x-none"/>
        </w:rPr>
        <w:t xml:space="preserve">“ 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individuální on-line </w:t>
      </w:r>
      <w:r w:rsidR="000F6358">
        <w:rPr>
          <w:rFonts w:eastAsia="Times New Roman" w:cs="Arial"/>
          <w:sz w:val="20"/>
          <w:szCs w:val="20"/>
          <w:lang w:eastAsia="x-none"/>
        </w:rPr>
        <w:t xml:space="preserve">konzultaci prostřednictvím příslušného Lektora </w:t>
      </w:r>
      <w:r w:rsidRPr="00382D19">
        <w:rPr>
          <w:rFonts w:eastAsia="Times New Roman" w:cs="Arial"/>
          <w:sz w:val="20"/>
          <w:szCs w:val="20"/>
          <w:lang w:eastAsia="x-none"/>
        </w:rPr>
        <w:t>a osobní konzultac</w:t>
      </w:r>
      <w:r w:rsidR="000F6358">
        <w:rPr>
          <w:rFonts w:eastAsia="Times New Roman" w:cs="Arial"/>
          <w:sz w:val="20"/>
          <w:szCs w:val="20"/>
          <w:lang w:eastAsia="x-none"/>
        </w:rPr>
        <w:t xml:space="preserve">i, a to obojí nejpozději do </w:t>
      </w:r>
      <w:r w:rsidR="006C2F43" w:rsidRPr="00B225F0">
        <w:rPr>
          <w:rFonts w:eastAsia="Times New Roman" w:cs="Arial"/>
          <w:sz w:val="20"/>
          <w:szCs w:val="20"/>
          <w:lang w:eastAsia="x-none"/>
        </w:rPr>
        <w:t>31. 1</w:t>
      </w:r>
      <w:r w:rsidR="009A3FE9" w:rsidRPr="00B225F0">
        <w:rPr>
          <w:rFonts w:eastAsia="Times New Roman" w:cs="Arial"/>
          <w:sz w:val="20"/>
          <w:szCs w:val="20"/>
          <w:lang w:eastAsia="x-none"/>
        </w:rPr>
        <w:t>. 20</w:t>
      </w:r>
      <w:r w:rsidR="006C2F43" w:rsidRPr="00B225F0">
        <w:rPr>
          <w:rFonts w:eastAsia="Times New Roman" w:cs="Arial"/>
          <w:sz w:val="20"/>
          <w:szCs w:val="20"/>
          <w:lang w:eastAsia="x-none"/>
        </w:rPr>
        <w:t>20</w:t>
      </w:r>
      <w:r w:rsidR="000F6358">
        <w:rPr>
          <w:rFonts w:eastAsia="Times New Roman" w:cs="Arial"/>
          <w:sz w:val="20"/>
          <w:szCs w:val="20"/>
          <w:lang w:eastAsia="x-none"/>
        </w:rPr>
        <w:t xml:space="preserve">. </w:t>
      </w:r>
      <w:r w:rsidR="00D24C11">
        <w:rPr>
          <w:rFonts w:eastAsia="Times New Roman" w:cs="Arial"/>
          <w:sz w:val="20"/>
          <w:szCs w:val="20"/>
          <w:lang w:eastAsia="x-none"/>
        </w:rPr>
        <w:t>On-line k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onzultace </w:t>
      </w:r>
      <w:r w:rsidR="00D24C11">
        <w:rPr>
          <w:rFonts w:eastAsia="Times New Roman" w:cs="Arial"/>
          <w:sz w:val="20"/>
          <w:szCs w:val="20"/>
          <w:lang w:eastAsia="x-none"/>
        </w:rPr>
        <w:t>proběhne</w:t>
      </w:r>
      <w:r w:rsidRPr="00382D19">
        <w:rPr>
          <w:rFonts w:eastAsia="Times New Roman" w:cs="Arial"/>
          <w:sz w:val="20"/>
          <w:szCs w:val="20"/>
          <w:lang w:eastAsia="x-none"/>
        </w:rPr>
        <w:t xml:space="preserve"> ve </w:t>
      </w:r>
      <w:r w:rsidR="00D24C11">
        <w:rPr>
          <w:rFonts w:eastAsia="Times New Roman" w:cs="Arial"/>
          <w:sz w:val="20"/>
          <w:szCs w:val="20"/>
          <w:lang w:eastAsia="x-none"/>
        </w:rPr>
        <w:t xml:space="preserve">složení: </w:t>
      </w:r>
      <w:r w:rsidR="00D24C11" w:rsidRPr="009A3FE9">
        <w:rPr>
          <w:rFonts w:eastAsia="Times New Roman" w:cs="Arial"/>
          <w:sz w:val="20"/>
          <w:szCs w:val="20"/>
          <w:lang w:eastAsia="x-none"/>
        </w:rPr>
        <w:t>Spolupracující tvůrci, Lektor</w:t>
      </w:r>
      <w:r w:rsidRPr="009A3FE9">
        <w:rPr>
          <w:rFonts w:eastAsia="Times New Roman" w:cs="Arial"/>
          <w:sz w:val="20"/>
          <w:szCs w:val="20"/>
          <w:lang w:eastAsia="x-none"/>
        </w:rPr>
        <w:t xml:space="preserve"> a </w:t>
      </w:r>
      <w:r w:rsidR="00D24C11" w:rsidRPr="009A3FE9">
        <w:rPr>
          <w:rFonts w:eastAsia="Times New Roman" w:cs="Arial"/>
          <w:sz w:val="20"/>
          <w:szCs w:val="20"/>
          <w:lang w:eastAsia="x-none"/>
        </w:rPr>
        <w:t>Adept; osobní konzultace proběhne ve slože</w:t>
      </w:r>
      <w:bookmarkStart w:id="0" w:name="_GoBack"/>
      <w:bookmarkEnd w:id="0"/>
      <w:r w:rsidR="00D24C11" w:rsidRPr="009A3FE9">
        <w:rPr>
          <w:rFonts w:eastAsia="Times New Roman" w:cs="Arial"/>
          <w:sz w:val="20"/>
          <w:szCs w:val="20"/>
          <w:lang w:eastAsia="x-none"/>
        </w:rPr>
        <w:t>ní: Spolupracující tvůrci</w:t>
      </w:r>
      <w:r w:rsidR="00780C64" w:rsidRPr="009A3FE9">
        <w:rPr>
          <w:rFonts w:eastAsia="Times New Roman" w:cs="Arial"/>
          <w:sz w:val="20"/>
          <w:szCs w:val="20"/>
          <w:lang w:eastAsia="x-none"/>
        </w:rPr>
        <w:t xml:space="preserve">, </w:t>
      </w:r>
      <w:proofErr w:type="spellStart"/>
      <w:r w:rsidR="00780C64" w:rsidRPr="009A3FE9">
        <w:rPr>
          <w:rFonts w:eastAsia="Times New Roman" w:cs="Arial"/>
          <w:sz w:val="20"/>
          <w:szCs w:val="20"/>
          <w:lang w:eastAsia="x-none"/>
        </w:rPr>
        <w:t>Head</w:t>
      </w:r>
      <w:proofErr w:type="spellEnd"/>
      <w:r w:rsidR="00780C64" w:rsidRPr="009A3FE9">
        <w:rPr>
          <w:rFonts w:eastAsia="Times New Roman" w:cs="Arial"/>
          <w:sz w:val="20"/>
          <w:szCs w:val="20"/>
          <w:lang w:eastAsia="x-none"/>
        </w:rPr>
        <w:t xml:space="preserve"> </w:t>
      </w:r>
      <w:proofErr w:type="spellStart"/>
      <w:r w:rsidR="00780C64" w:rsidRPr="009A3FE9">
        <w:rPr>
          <w:rFonts w:eastAsia="Times New Roman" w:cs="Arial"/>
          <w:sz w:val="20"/>
          <w:szCs w:val="20"/>
          <w:lang w:eastAsia="x-none"/>
        </w:rPr>
        <w:t>of</w:t>
      </w:r>
      <w:proofErr w:type="spellEnd"/>
      <w:r w:rsidR="00780C64" w:rsidRPr="009A3FE9">
        <w:rPr>
          <w:rFonts w:eastAsia="Times New Roman" w:cs="Arial"/>
          <w:sz w:val="20"/>
          <w:szCs w:val="20"/>
          <w:lang w:eastAsia="x-none"/>
        </w:rPr>
        <w:t xml:space="preserve"> </w:t>
      </w:r>
      <w:proofErr w:type="spellStart"/>
      <w:r w:rsidR="00780C64" w:rsidRPr="009A3FE9">
        <w:rPr>
          <w:rFonts w:eastAsia="Times New Roman" w:cs="Arial"/>
          <w:sz w:val="20"/>
          <w:szCs w:val="20"/>
          <w:lang w:eastAsia="x-none"/>
        </w:rPr>
        <w:t>Studies</w:t>
      </w:r>
      <w:proofErr w:type="spellEnd"/>
      <w:r w:rsidR="00780C64" w:rsidRPr="009A3FE9">
        <w:rPr>
          <w:rFonts w:eastAsia="Times New Roman" w:cs="Arial"/>
          <w:sz w:val="20"/>
          <w:szCs w:val="20"/>
          <w:lang w:eastAsia="x-none"/>
        </w:rPr>
        <w:t xml:space="preserve"> a Adept</w:t>
      </w:r>
      <w:r w:rsidRPr="009A3FE9">
        <w:rPr>
          <w:rFonts w:eastAsia="Times New Roman" w:cs="Arial"/>
          <w:sz w:val="20"/>
          <w:szCs w:val="20"/>
          <w:lang w:eastAsia="x-none"/>
        </w:rPr>
        <w:t>.“</w:t>
      </w:r>
    </w:p>
    <w:p w:rsidR="00180169" w:rsidRPr="00180169" w:rsidRDefault="00180169" w:rsidP="0018016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BA219E">
        <w:rPr>
          <w:rFonts w:eastAsia="Times New Roman" w:cs="Arial"/>
          <w:sz w:val="20"/>
          <w:szCs w:val="20"/>
          <w:lang w:eastAsia="x-none"/>
        </w:rPr>
        <w:t xml:space="preserve">Za ustanovení článku </w:t>
      </w:r>
      <w:r>
        <w:rPr>
          <w:rFonts w:eastAsia="Times New Roman" w:cs="Arial"/>
          <w:sz w:val="20"/>
          <w:szCs w:val="20"/>
          <w:lang w:eastAsia="x-none"/>
        </w:rPr>
        <w:t>9.4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</w:t>
      </w:r>
      <w:r w:rsidRPr="00A26DEA">
        <w:rPr>
          <w:rFonts w:eastAsia="Times New Roman" w:cs="Arial"/>
          <w:sz w:val="20"/>
          <w:szCs w:val="20"/>
          <w:lang w:eastAsia="x-none"/>
        </w:rPr>
        <w:t>vklád</w:t>
      </w:r>
      <w:r>
        <w:rPr>
          <w:rFonts w:eastAsia="Times New Roman" w:cs="Arial"/>
          <w:sz w:val="20"/>
          <w:szCs w:val="20"/>
          <w:lang w:eastAsia="x-none"/>
        </w:rPr>
        <w:t>ají nové člán</w:t>
      </w:r>
      <w:r w:rsidRPr="00A26DEA">
        <w:rPr>
          <w:rFonts w:eastAsia="Times New Roman" w:cs="Arial"/>
          <w:sz w:val="20"/>
          <w:szCs w:val="20"/>
          <w:lang w:eastAsia="x-none"/>
        </w:rPr>
        <w:t>k</w:t>
      </w:r>
      <w:r>
        <w:rPr>
          <w:rFonts w:eastAsia="Times New Roman" w:cs="Arial"/>
          <w:sz w:val="20"/>
          <w:szCs w:val="20"/>
          <w:lang w:eastAsia="x-none"/>
        </w:rPr>
        <w:t>y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</w:t>
      </w:r>
      <w:r>
        <w:rPr>
          <w:rFonts w:eastAsia="Times New Roman" w:cs="Arial"/>
          <w:sz w:val="20"/>
          <w:szCs w:val="20"/>
          <w:lang w:eastAsia="x-none"/>
        </w:rPr>
        <w:t>9.5 a 9.6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Smlouvy v tomto znění</w:t>
      </w:r>
      <w:r>
        <w:rPr>
          <w:rFonts w:eastAsia="Times New Roman" w:cs="Arial"/>
          <w:sz w:val="20"/>
          <w:szCs w:val="20"/>
          <w:lang w:eastAsia="x-none"/>
        </w:rPr>
        <w:t>:</w:t>
      </w:r>
    </w:p>
    <w:p w:rsidR="00180169" w:rsidRPr="000552C0" w:rsidRDefault="00180169" w:rsidP="000552C0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„9.5 </w:t>
      </w:r>
      <w:r w:rsidR="000552C0" w:rsidRPr="000552C0">
        <w:rPr>
          <w:rFonts w:eastAsia="Times New Roman" w:cs="Arial"/>
          <w:sz w:val="20"/>
          <w:szCs w:val="20"/>
          <w:lang w:eastAsia="x-none"/>
        </w:rPr>
        <w:t xml:space="preserve">Dodavatel se zavazuje poskytnout prostřednictvím Lektora daného Projektu konzultace Spolupracujícím tvůrcům za účasti Adepta v průběhu období od konce </w:t>
      </w:r>
      <w:r w:rsidR="000552C0">
        <w:rPr>
          <w:rFonts w:eastAsia="Times New Roman" w:cs="Arial"/>
          <w:sz w:val="20"/>
          <w:szCs w:val="20"/>
          <w:lang w:eastAsia="x-none"/>
        </w:rPr>
        <w:t>Druhého</w:t>
      </w:r>
      <w:r w:rsidR="000552C0" w:rsidRPr="000552C0">
        <w:rPr>
          <w:rFonts w:eastAsia="Times New Roman" w:cs="Arial"/>
          <w:sz w:val="20"/>
          <w:szCs w:val="20"/>
          <w:lang w:eastAsia="x-none"/>
        </w:rPr>
        <w:t xml:space="preserve"> </w:t>
      </w:r>
      <w:proofErr w:type="spellStart"/>
      <w:r w:rsidR="000552C0" w:rsidRPr="000552C0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="000552C0" w:rsidRPr="000552C0">
        <w:rPr>
          <w:rFonts w:eastAsia="Times New Roman" w:cs="Arial"/>
          <w:sz w:val="20"/>
          <w:szCs w:val="20"/>
          <w:lang w:eastAsia="x-none"/>
        </w:rPr>
        <w:t xml:space="preserve">-up workshopu do </w:t>
      </w:r>
      <w:r w:rsidR="009A3FE9">
        <w:rPr>
          <w:rFonts w:eastAsia="Times New Roman" w:cs="Arial"/>
          <w:sz w:val="20"/>
          <w:szCs w:val="20"/>
          <w:lang w:eastAsia="x-none"/>
        </w:rPr>
        <w:t>21. 4. 2020</w:t>
      </w:r>
      <w:r w:rsidR="000552C0" w:rsidRPr="000552C0">
        <w:rPr>
          <w:rFonts w:eastAsia="Times New Roman" w:cs="Arial"/>
          <w:sz w:val="20"/>
          <w:szCs w:val="20"/>
          <w:lang w:eastAsia="x-none"/>
        </w:rPr>
        <w:t>. Rozsah konzultací vychází z potřeb každého Projektu</w:t>
      </w:r>
      <w:r w:rsidR="000552C0">
        <w:rPr>
          <w:rFonts w:eastAsia="Times New Roman" w:cs="Arial"/>
          <w:sz w:val="20"/>
          <w:szCs w:val="20"/>
          <w:lang w:eastAsia="x-none"/>
        </w:rPr>
        <w:t xml:space="preserve"> a činí </w:t>
      </w:r>
      <w:r w:rsidR="000552C0" w:rsidRPr="007F08A9">
        <w:rPr>
          <w:rFonts w:eastAsia="Times New Roman" w:cs="Arial"/>
          <w:kern w:val="28"/>
          <w:sz w:val="20"/>
          <w:szCs w:val="20"/>
          <w:lang w:eastAsia="cs-CZ"/>
        </w:rPr>
        <w:t>minimálně</w:t>
      </w:r>
      <w:r w:rsidR="000552C0">
        <w:rPr>
          <w:rFonts w:eastAsia="Times New Roman" w:cs="Arial"/>
          <w:kern w:val="28"/>
          <w:sz w:val="20"/>
          <w:szCs w:val="20"/>
          <w:lang w:eastAsia="cs-CZ"/>
        </w:rPr>
        <w:t xml:space="preserve"> 1 (jednu</w:t>
      </w:r>
      <w:r w:rsidR="000552C0" w:rsidRPr="007F08A9">
        <w:rPr>
          <w:rFonts w:eastAsia="Times New Roman" w:cs="Arial"/>
          <w:kern w:val="28"/>
          <w:sz w:val="20"/>
          <w:szCs w:val="20"/>
          <w:lang w:eastAsia="cs-CZ"/>
        </w:rPr>
        <w:t>) konzultac</w:t>
      </w:r>
      <w:r w:rsidR="000552C0">
        <w:rPr>
          <w:rFonts w:eastAsia="Times New Roman" w:cs="Arial"/>
          <w:kern w:val="28"/>
          <w:sz w:val="20"/>
          <w:szCs w:val="20"/>
          <w:lang w:eastAsia="cs-CZ"/>
        </w:rPr>
        <w:t>i</w:t>
      </w:r>
      <w:r w:rsidR="000552C0" w:rsidRPr="007F08A9">
        <w:rPr>
          <w:rFonts w:eastAsia="Times New Roman" w:cs="Arial"/>
          <w:kern w:val="28"/>
          <w:sz w:val="20"/>
          <w:szCs w:val="20"/>
          <w:lang w:eastAsia="cs-CZ"/>
        </w:rPr>
        <w:t xml:space="preserve"> ke každému Projektu</w:t>
      </w:r>
      <w:r w:rsidR="000552C0">
        <w:rPr>
          <w:rFonts w:eastAsia="Times New Roman" w:cs="Arial"/>
          <w:kern w:val="28"/>
          <w:sz w:val="20"/>
          <w:szCs w:val="20"/>
          <w:lang w:eastAsia="cs-CZ"/>
        </w:rPr>
        <w:t>.</w:t>
      </w:r>
    </w:p>
    <w:p w:rsidR="00180169" w:rsidRPr="00180169" w:rsidRDefault="00180169" w:rsidP="00180169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kern w:val="28"/>
          <w:sz w:val="20"/>
          <w:szCs w:val="20"/>
          <w:lang w:eastAsia="cs-CZ"/>
        </w:rPr>
      </w:pPr>
      <w:r>
        <w:rPr>
          <w:rFonts w:eastAsia="Times New Roman" w:cs="Arial"/>
          <w:kern w:val="28"/>
          <w:sz w:val="20"/>
          <w:szCs w:val="20"/>
          <w:lang w:eastAsia="cs-CZ"/>
        </w:rPr>
        <w:t>9</w:t>
      </w:r>
      <w:r w:rsidR="00FA03AE">
        <w:rPr>
          <w:rFonts w:eastAsia="Times New Roman" w:cs="Arial"/>
          <w:kern w:val="28"/>
          <w:sz w:val="20"/>
          <w:szCs w:val="20"/>
          <w:lang w:eastAsia="cs-CZ"/>
        </w:rPr>
        <w:t xml:space="preserve">.6. 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t xml:space="preserve">Dodavatel se zavazuje uspořádat závěrečné vyhodnocení </w:t>
      </w:r>
      <w:r>
        <w:rPr>
          <w:rFonts w:eastAsia="Times New Roman" w:cs="Arial"/>
          <w:kern w:val="28"/>
          <w:sz w:val="20"/>
          <w:szCs w:val="20"/>
          <w:lang w:eastAsia="cs-CZ"/>
        </w:rPr>
        <w:t>druhého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t xml:space="preserve"> cyklu dramaturgického inkubátoru formou workshopu v průběhu měsíce </w:t>
      </w:r>
      <w:r w:rsidR="009A3FE9">
        <w:rPr>
          <w:rFonts w:eastAsia="Times New Roman" w:cs="Arial"/>
          <w:kern w:val="28"/>
          <w:sz w:val="20"/>
          <w:szCs w:val="20"/>
          <w:lang w:eastAsia="cs-CZ"/>
        </w:rPr>
        <w:t>dubna 2020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t xml:space="preserve"> (dále jen „</w:t>
      </w:r>
      <w:r w:rsidR="00243804" w:rsidRPr="00243804">
        <w:rPr>
          <w:rFonts w:eastAsia="Times New Roman" w:cs="Arial"/>
          <w:b/>
          <w:kern w:val="28"/>
          <w:sz w:val="20"/>
          <w:szCs w:val="20"/>
          <w:lang w:eastAsia="cs-CZ"/>
        </w:rPr>
        <w:t xml:space="preserve">Druhý </w:t>
      </w:r>
      <w:proofErr w:type="spellStart"/>
      <w:r w:rsidR="00243804" w:rsidRPr="00243804">
        <w:rPr>
          <w:rFonts w:eastAsia="Times New Roman" w:cs="Arial"/>
          <w:b/>
          <w:kern w:val="28"/>
          <w:sz w:val="20"/>
          <w:szCs w:val="20"/>
          <w:lang w:eastAsia="cs-CZ"/>
        </w:rPr>
        <w:t>w</w:t>
      </w:r>
      <w:r w:rsidRPr="00243804">
        <w:rPr>
          <w:rFonts w:eastAsia="Times New Roman" w:cs="Arial"/>
          <w:b/>
          <w:kern w:val="28"/>
          <w:sz w:val="20"/>
          <w:szCs w:val="20"/>
          <w:lang w:eastAsia="cs-CZ"/>
        </w:rPr>
        <w:t>rap</w:t>
      </w:r>
      <w:proofErr w:type="spellEnd"/>
      <w:r w:rsidRPr="00243804">
        <w:rPr>
          <w:rFonts w:eastAsia="Times New Roman" w:cs="Arial"/>
          <w:b/>
          <w:kern w:val="28"/>
          <w:sz w:val="20"/>
          <w:szCs w:val="20"/>
          <w:lang w:eastAsia="cs-CZ"/>
        </w:rPr>
        <w:t xml:space="preserve"> up workshop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t xml:space="preserve">“). Minimální doba trvání </w:t>
      </w:r>
      <w:r w:rsidR="00243804">
        <w:rPr>
          <w:rFonts w:eastAsia="Times New Roman" w:cs="Arial"/>
          <w:kern w:val="28"/>
          <w:sz w:val="20"/>
          <w:szCs w:val="20"/>
          <w:lang w:eastAsia="cs-CZ"/>
        </w:rPr>
        <w:t xml:space="preserve">Druhého </w:t>
      </w:r>
      <w:proofErr w:type="spellStart"/>
      <w:r w:rsidR="00243804">
        <w:rPr>
          <w:rFonts w:eastAsia="Times New Roman" w:cs="Arial"/>
          <w:kern w:val="28"/>
          <w:sz w:val="20"/>
          <w:szCs w:val="20"/>
          <w:lang w:eastAsia="cs-CZ"/>
        </w:rPr>
        <w:t>w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t>rap</w:t>
      </w:r>
      <w:proofErr w:type="spellEnd"/>
      <w:r w:rsidRPr="00180169">
        <w:rPr>
          <w:rFonts w:eastAsia="Times New Roman" w:cs="Arial"/>
          <w:kern w:val="28"/>
          <w:sz w:val="20"/>
          <w:szCs w:val="20"/>
          <w:lang w:eastAsia="cs-CZ"/>
        </w:rPr>
        <w:t xml:space="preserve"> up workshopu jsou 2 (dva) dny a minimální 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lastRenderedPageBreak/>
        <w:t xml:space="preserve">doba odborného programu v každém z alespoň 2 (dvou) dnů </w:t>
      </w:r>
      <w:r w:rsidR="00243804">
        <w:rPr>
          <w:rFonts w:eastAsia="Times New Roman" w:cs="Arial"/>
          <w:kern w:val="28"/>
          <w:sz w:val="20"/>
          <w:szCs w:val="20"/>
          <w:lang w:eastAsia="cs-CZ"/>
        </w:rPr>
        <w:t xml:space="preserve">Druhého </w:t>
      </w:r>
      <w:proofErr w:type="spellStart"/>
      <w:r w:rsidR="00243804">
        <w:rPr>
          <w:rFonts w:eastAsia="Times New Roman" w:cs="Arial"/>
          <w:kern w:val="28"/>
          <w:sz w:val="20"/>
          <w:szCs w:val="20"/>
          <w:lang w:eastAsia="cs-CZ"/>
        </w:rPr>
        <w:t>w</w:t>
      </w:r>
      <w:r w:rsidRPr="00180169">
        <w:rPr>
          <w:rFonts w:eastAsia="Times New Roman" w:cs="Arial"/>
          <w:kern w:val="28"/>
          <w:sz w:val="20"/>
          <w:szCs w:val="20"/>
          <w:lang w:eastAsia="cs-CZ"/>
        </w:rPr>
        <w:t>rap</w:t>
      </w:r>
      <w:proofErr w:type="spellEnd"/>
      <w:r w:rsidRPr="00180169">
        <w:rPr>
          <w:rFonts w:eastAsia="Times New Roman" w:cs="Arial"/>
          <w:kern w:val="28"/>
          <w:sz w:val="20"/>
          <w:szCs w:val="20"/>
          <w:lang w:eastAsia="cs-CZ"/>
        </w:rPr>
        <w:t xml:space="preserve"> up workshopu činí 6 (šest) hodin. </w:t>
      </w:r>
      <w:r w:rsidRPr="009A3FE9">
        <w:rPr>
          <w:rFonts w:eastAsia="Times New Roman" w:cs="Arial"/>
          <w:kern w:val="28"/>
          <w:sz w:val="20"/>
          <w:szCs w:val="20"/>
          <w:lang w:eastAsia="cs-CZ"/>
        </w:rPr>
        <w:t xml:space="preserve">V rámci </w:t>
      </w:r>
      <w:r w:rsidR="00243804" w:rsidRPr="009A3FE9">
        <w:rPr>
          <w:rFonts w:eastAsia="Times New Roman" w:cs="Arial"/>
          <w:kern w:val="28"/>
          <w:sz w:val="20"/>
          <w:szCs w:val="20"/>
          <w:lang w:eastAsia="cs-CZ"/>
        </w:rPr>
        <w:t xml:space="preserve">Druhého </w:t>
      </w:r>
      <w:proofErr w:type="spellStart"/>
      <w:r w:rsidR="00243804" w:rsidRPr="009A3FE9">
        <w:rPr>
          <w:rFonts w:eastAsia="Times New Roman" w:cs="Arial"/>
          <w:kern w:val="28"/>
          <w:sz w:val="20"/>
          <w:szCs w:val="20"/>
          <w:lang w:eastAsia="cs-CZ"/>
        </w:rPr>
        <w:t>w</w:t>
      </w:r>
      <w:r w:rsidRPr="009A3FE9">
        <w:rPr>
          <w:rFonts w:eastAsia="Times New Roman" w:cs="Arial"/>
          <w:kern w:val="28"/>
          <w:sz w:val="20"/>
          <w:szCs w:val="20"/>
          <w:lang w:eastAsia="cs-CZ"/>
        </w:rPr>
        <w:t>rap</w:t>
      </w:r>
      <w:proofErr w:type="spellEnd"/>
      <w:r w:rsidRPr="009A3FE9">
        <w:rPr>
          <w:rFonts w:eastAsia="Times New Roman" w:cs="Arial"/>
          <w:kern w:val="28"/>
          <w:sz w:val="20"/>
          <w:szCs w:val="20"/>
          <w:lang w:eastAsia="cs-CZ"/>
        </w:rPr>
        <w:t xml:space="preserve"> up workshopu Adepti zároveň vedou samostatnou konzultaci k filmům ve fázi přípravy, které určí Objednatel.“</w:t>
      </w:r>
    </w:p>
    <w:p w:rsidR="00DE16EE" w:rsidRDefault="00DE16EE" w:rsidP="00DE16E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10.8 Smlouvy se mění tak, že nově zní:</w:t>
      </w:r>
    </w:p>
    <w:p w:rsidR="00DE16EE" w:rsidRPr="00DE16EE" w:rsidRDefault="00DE16EE" w:rsidP="00DE16EE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Pr="001419C0">
        <w:rPr>
          <w:rFonts w:eastAsia="Times New Roman" w:cs="Arial"/>
          <w:sz w:val="20"/>
          <w:szCs w:val="20"/>
          <w:lang w:eastAsia="x-none"/>
        </w:rPr>
        <w:t>10.8.</w:t>
      </w:r>
      <w:r w:rsidRPr="001419C0">
        <w:rPr>
          <w:rFonts w:eastAsia="Times New Roman" w:cs="Arial"/>
          <w:sz w:val="20"/>
          <w:szCs w:val="20"/>
          <w:lang w:eastAsia="x-none"/>
        </w:rPr>
        <w:tab/>
        <w:t>Přípravný cyklus dramaturgického inkubátoru trvá ode dne účinnosti Smlouvy do konce září 2018; první cyklus dramaturgického inkubátoru trvá od října 2018 do října 201</w:t>
      </w:r>
      <w:r>
        <w:rPr>
          <w:rFonts w:eastAsia="Times New Roman" w:cs="Arial"/>
          <w:sz w:val="20"/>
          <w:szCs w:val="20"/>
          <w:lang w:eastAsia="x-none"/>
        </w:rPr>
        <w:t>9</w:t>
      </w:r>
      <w:r w:rsidRPr="001419C0">
        <w:rPr>
          <w:rFonts w:eastAsia="Times New Roman" w:cs="Arial"/>
          <w:sz w:val="20"/>
          <w:szCs w:val="20"/>
          <w:lang w:eastAsia="x-none"/>
        </w:rPr>
        <w:t xml:space="preserve"> a druhý cyklus dramaturgického inkubátoru trvá od </w:t>
      </w:r>
      <w:r>
        <w:rPr>
          <w:rFonts w:eastAsia="Times New Roman" w:cs="Arial"/>
          <w:sz w:val="20"/>
          <w:szCs w:val="20"/>
          <w:lang w:eastAsia="x-none"/>
        </w:rPr>
        <w:t>dubna</w:t>
      </w:r>
      <w:r w:rsidRPr="001419C0">
        <w:rPr>
          <w:rFonts w:eastAsia="Times New Roman" w:cs="Arial"/>
          <w:sz w:val="20"/>
          <w:szCs w:val="20"/>
          <w:lang w:eastAsia="x-none"/>
        </w:rPr>
        <w:t xml:space="preserve"> 2019 do </w:t>
      </w:r>
      <w:r w:rsidR="009A3FE9">
        <w:rPr>
          <w:rFonts w:eastAsia="Times New Roman" w:cs="Arial"/>
          <w:sz w:val="20"/>
          <w:szCs w:val="20"/>
          <w:lang w:eastAsia="x-none"/>
        </w:rPr>
        <w:t>dubna 2020</w:t>
      </w:r>
      <w:r w:rsidRPr="001419C0">
        <w:rPr>
          <w:rFonts w:eastAsia="Times New Roman" w:cs="Arial"/>
          <w:sz w:val="20"/>
          <w:szCs w:val="20"/>
          <w:lang w:eastAsia="x-none"/>
        </w:rPr>
        <w:t>. Bude-li Dodavatel v prodlení s uspořádáním Workshopů či jiným poskytnutím Služeb dle této Smlouvy, prodlužuje se doba trvání toho cyklu dramaturgického inkubátoru, v němž má být Služba poskytnuta, o dobu prodlení Dodavatele.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180169" w:rsidRDefault="00180169" w:rsidP="0018016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11.1 Smlouvy se mění tak, že nově zní:</w:t>
      </w:r>
    </w:p>
    <w:p w:rsidR="00180169" w:rsidRPr="00CA76C5" w:rsidRDefault="00180169" w:rsidP="00180169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>
        <w:rPr>
          <w:rFonts w:eastAsia="Times New Roman" w:cs="Arial"/>
          <w:sz w:val="20"/>
          <w:szCs w:val="20"/>
          <w:lang w:val="x-none" w:eastAsia="x-none"/>
        </w:rPr>
        <w:t>11.1.</w:t>
      </w:r>
      <w:r>
        <w:rPr>
          <w:rFonts w:eastAsia="Times New Roman" w:cs="Arial"/>
          <w:sz w:val="20"/>
          <w:szCs w:val="20"/>
          <w:lang w:val="x-none" w:eastAsia="x-none"/>
        </w:rPr>
        <w:tab/>
        <w:t xml:space="preserve">Cena za Služby je cena smluvní a celkem činí </w:t>
      </w:r>
      <w:r w:rsidRPr="00BF079F">
        <w:rPr>
          <w:rFonts w:eastAsia="Times New Roman" w:cs="Arial"/>
          <w:sz w:val="20"/>
          <w:szCs w:val="20"/>
          <w:lang w:eastAsia="x-none"/>
        </w:rPr>
        <w:t>14 695 000</w:t>
      </w:r>
      <w:r>
        <w:rPr>
          <w:rFonts w:eastAsia="Times New Roman" w:cs="Arial"/>
          <w:sz w:val="20"/>
          <w:szCs w:val="20"/>
          <w:lang w:val="x-none" w:eastAsia="x-none"/>
        </w:rPr>
        <w:t>,- Kč bez DPH (slovy: čtrnáct milionů šest set devadesát pět tisíc</w:t>
      </w:r>
      <w:r>
        <w:rPr>
          <w:rFonts w:eastAsia="Times New Roman" w:cs="Arial"/>
          <w:sz w:val="20"/>
          <w:szCs w:val="20"/>
          <w:lang w:eastAsia="x-none"/>
        </w:rPr>
        <w:t xml:space="preserve"> </w:t>
      </w:r>
      <w:r>
        <w:rPr>
          <w:rFonts w:eastAsia="Times New Roman" w:cs="Arial"/>
          <w:sz w:val="20"/>
          <w:szCs w:val="20"/>
          <w:lang w:val="x-none" w:eastAsia="x-none"/>
        </w:rPr>
        <w:t xml:space="preserve">korun českých) s tím, že výše DPH činí </w:t>
      </w:r>
      <w:r>
        <w:rPr>
          <w:rFonts w:eastAsia="Times New Roman" w:cs="Arial"/>
          <w:sz w:val="20"/>
          <w:szCs w:val="20"/>
          <w:lang w:eastAsia="x-none"/>
        </w:rPr>
        <w:t>3 085 950</w:t>
      </w:r>
      <w:r>
        <w:rPr>
          <w:rFonts w:eastAsia="Times New Roman" w:cs="Arial"/>
          <w:sz w:val="20"/>
          <w:szCs w:val="20"/>
          <w:lang w:val="x-none" w:eastAsia="x-none"/>
        </w:rPr>
        <w:t xml:space="preserve"> Kč a cena celkem činí </w:t>
      </w:r>
      <w:r>
        <w:rPr>
          <w:rFonts w:eastAsia="Times New Roman" w:cs="Arial"/>
          <w:sz w:val="20"/>
          <w:szCs w:val="20"/>
          <w:lang w:eastAsia="x-none"/>
        </w:rPr>
        <w:t>17 780 950</w:t>
      </w:r>
      <w:r>
        <w:rPr>
          <w:rFonts w:eastAsia="Times New Roman" w:cs="Arial"/>
          <w:sz w:val="20"/>
          <w:szCs w:val="20"/>
          <w:lang w:val="x-none" w:eastAsia="x-none"/>
        </w:rPr>
        <w:t>,- Kč včetně DPH. Cena je tvořena součtem Dílčích cen. Cena včetně Dílčích cen a daně z přidané hodnoty se vždy hradí v korunách českých.</w:t>
      </w:r>
      <w:r w:rsidR="00CA76C5">
        <w:rPr>
          <w:rFonts w:eastAsia="Times New Roman" w:cs="Arial"/>
          <w:sz w:val="20"/>
          <w:szCs w:val="20"/>
          <w:lang w:eastAsia="x-none"/>
        </w:rPr>
        <w:t>“</w:t>
      </w:r>
    </w:p>
    <w:p w:rsidR="00C04B9A" w:rsidRPr="00C04B9A" w:rsidRDefault="00C04B9A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Článek </w:t>
      </w:r>
      <w:r w:rsidR="00780C64">
        <w:rPr>
          <w:rFonts w:eastAsia="Times New Roman" w:cs="Arial"/>
          <w:sz w:val="20"/>
          <w:szCs w:val="20"/>
          <w:lang w:eastAsia="x-none"/>
        </w:rPr>
        <w:t>11.6.7</w:t>
      </w:r>
      <w:r>
        <w:rPr>
          <w:rFonts w:eastAsia="Times New Roman" w:cs="Arial"/>
          <w:sz w:val="20"/>
          <w:szCs w:val="20"/>
          <w:lang w:eastAsia="x-none"/>
        </w:rPr>
        <w:t xml:space="preserve"> Smlouvy se mění tak, že </w:t>
      </w:r>
      <w:r w:rsidR="00780C64">
        <w:rPr>
          <w:rFonts w:eastAsia="Times New Roman" w:cs="Arial"/>
          <w:sz w:val="20"/>
          <w:szCs w:val="20"/>
          <w:lang w:eastAsia="x-none"/>
        </w:rPr>
        <w:t>se za poslední slova čl. 11.6.7 Smlouvy před středník vkládají tato slova</w:t>
      </w:r>
      <w:r>
        <w:rPr>
          <w:rFonts w:eastAsia="Times New Roman" w:cs="Arial"/>
          <w:sz w:val="20"/>
          <w:szCs w:val="20"/>
          <w:lang w:eastAsia="x-none"/>
        </w:rPr>
        <w:t>:</w:t>
      </w:r>
    </w:p>
    <w:p w:rsidR="00C04B9A" w:rsidRDefault="00C04B9A" w:rsidP="00B55F51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="00780C64">
        <w:rPr>
          <w:rFonts w:eastAsia="Times New Roman" w:cs="Arial"/>
          <w:sz w:val="20"/>
          <w:szCs w:val="20"/>
          <w:lang w:eastAsia="x-none"/>
        </w:rPr>
        <w:t>a za konzultace dle čl. 8.7 Smlouvy</w:t>
      </w:r>
      <w:r>
        <w:rPr>
          <w:rFonts w:eastAsia="Times New Roman" w:cs="Arial"/>
          <w:sz w:val="20"/>
          <w:szCs w:val="20"/>
          <w:lang w:eastAsia="x-none"/>
        </w:rPr>
        <w:t>“</w:t>
      </w:r>
      <w:r w:rsidR="00780C64">
        <w:rPr>
          <w:rFonts w:eastAsia="Times New Roman" w:cs="Arial"/>
          <w:sz w:val="20"/>
          <w:szCs w:val="20"/>
          <w:lang w:eastAsia="x-none"/>
        </w:rPr>
        <w:t>.</w:t>
      </w:r>
    </w:p>
    <w:p w:rsidR="00736E34" w:rsidRPr="00D45CB2" w:rsidRDefault="005118AC" w:rsidP="00736E3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BA219E">
        <w:rPr>
          <w:rFonts w:eastAsia="Times New Roman" w:cs="Arial"/>
          <w:sz w:val="20"/>
          <w:szCs w:val="20"/>
          <w:lang w:eastAsia="x-none"/>
        </w:rPr>
        <w:t xml:space="preserve">Za ustanovení článku </w:t>
      </w:r>
      <w:r>
        <w:rPr>
          <w:rFonts w:eastAsia="Times New Roman" w:cs="Arial"/>
          <w:sz w:val="20"/>
          <w:szCs w:val="20"/>
          <w:lang w:eastAsia="x-none"/>
        </w:rPr>
        <w:t>11.7.5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</w:t>
      </w:r>
      <w:r w:rsidRPr="00A26DEA">
        <w:rPr>
          <w:rFonts w:eastAsia="Times New Roman" w:cs="Arial"/>
          <w:sz w:val="20"/>
          <w:szCs w:val="20"/>
          <w:lang w:eastAsia="x-none"/>
        </w:rPr>
        <w:t>vklád</w:t>
      </w:r>
      <w:r>
        <w:rPr>
          <w:rFonts w:eastAsia="Times New Roman" w:cs="Arial"/>
          <w:sz w:val="20"/>
          <w:szCs w:val="20"/>
          <w:lang w:eastAsia="x-none"/>
        </w:rPr>
        <w:t>ají nové člán</w:t>
      </w:r>
      <w:r w:rsidRPr="00A26DEA">
        <w:rPr>
          <w:rFonts w:eastAsia="Times New Roman" w:cs="Arial"/>
          <w:sz w:val="20"/>
          <w:szCs w:val="20"/>
          <w:lang w:eastAsia="x-none"/>
        </w:rPr>
        <w:t>k</w:t>
      </w:r>
      <w:r>
        <w:rPr>
          <w:rFonts w:eastAsia="Times New Roman" w:cs="Arial"/>
          <w:sz w:val="20"/>
          <w:szCs w:val="20"/>
          <w:lang w:eastAsia="x-none"/>
        </w:rPr>
        <w:t>y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</w:t>
      </w:r>
      <w:r>
        <w:rPr>
          <w:rFonts w:eastAsia="Times New Roman" w:cs="Arial"/>
          <w:sz w:val="20"/>
          <w:szCs w:val="20"/>
          <w:lang w:eastAsia="x-none"/>
        </w:rPr>
        <w:t>11.7.6 a 11.7.</w:t>
      </w:r>
      <w:r w:rsidR="00D45CB2">
        <w:rPr>
          <w:rFonts w:eastAsia="Times New Roman" w:cs="Arial"/>
          <w:sz w:val="20"/>
          <w:szCs w:val="20"/>
          <w:lang w:eastAsia="x-none"/>
        </w:rPr>
        <w:t>7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Smlouvy v tomto znění</w:t>
      </w:r>
      <w:r w:rsidR="00D45CB2">
        <w:rPr>
          <w:rFonts w:eastAsia="Times New Roman" w:cs="Arial"/>
          <w:sz w:val="20"/>
          <w:szCs w:val="20"/>
          <w:lang w:eastAsia="x-none"/>
        </w:rPr>
        <w:t>:</w:t>
      </w:r>
    </w:p>
    <w:p w:rsidR="00D45CB2" w:rsidRDefault="00D45CB2" w:rsidP="00D45CB2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„11.7.6. ve výši </w:t>
      </w:r>
      <w:r w:rsidR="00B870D0">
        <w:rPr>
          <w:rFonts w:eastAsia="Times New Roman" w:cs="Arial"/>
          <w:sz w:val="20"/>
          <w:szCs w:val="20"/>
          <w:lang w:eastAsia="x-none"/>
        </w:rPr>
        <w:t>242 500</w:t>
      </w:r>
      <w:r w:rsidRPr="00D45CB2">
        <w:rPr>
          <w:rFonts w:eastAsia="Times New Roman" w:cs="Arial"/>
          <w:sz w:val="20"/>
          <w:szCs w:val="20"/>
          <w:lang w:eastAsia="x-none"/>
        </w:rPr>
        <w:t>,- Kč (</w:t>
      </w:r>
      <w:r w:rsidR="00CD2A74">
        <w:rPr>
          <w:rFonts w:eastAsia="Times New Roman" w:cs="Arial"/>
          <w:sz w:val="20"/>
          <w:szCs w:val="20"/>
          <w:lang w:eastAsia="x-none"/>
        </w:rPr>
        <w:t>dvě stě čtyřicet dva tisíc pět set</w:t>
      </w:r>
      <w:r w:rsidRPr="00D45CB2">
        <w:rPr>
          <w:rFonts w:eastAsia="Times New Roman" w:cs="Arial"/>
          <w:sz w:val="20"/>
          <w:szCs w:val="20"/>
          <w:lang w:eastAsia="x-none"/>
        </w:rPr>
        <w:t xml:space="preserve"> korun českých) za</w:t>
      </w:r>
      <w:r>
        <w:rPr>
          <w:rFonts w:eastAsia="Times New Roman" w:cs="Arial"/>
          <w:sz w:val="20"/>
          <w:szCs w:val="20"/>
          <w:lang w:eastAsia="x-none"/>
        </w:rPr>
        <w:t xml:space="preserve"> konzultace dle čl. 9.5 Smlouvy.</w:t>
      </w:r>
    </w:p>
    <w:p w:rsidR="00D45CB2" w:rsidRDefault="00D45CB2" w:rsidP="00D45CB2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11.7.7. </w:t>
      </w:r>
      <w:r w:rsidRPr="00D45CB2">
        <w:rPr>
          <w:rFonts w:eastAsia="Times New Roman" w:cs="Arial"/>
          <w:sz w:val="20"/>
          <w:szCs w:val="20"/>
          <w:lang w:eastAsia="x-none"/>
        </w:rPr>
        <w:t xml:space="preserve">ve výši </w:t>
      </w:r>
      <w:r w:rsidR="00887B14">
        <w:rPr>
          <w:rFonts w:eastAsia="Times New Roman" w:cs="Arial"/>
          <w:sz w:val="20"/>
          <w:szCs w:val="20"/>
          <w:lang w:eastAsia="x-none"/>
        </w:rPr>
        <w:t>650 000</w:t>
      </w:r>
      <w:r w:rsidRPr="00D45CB2">
        <w:rPr>
          <w:rFonts w:eastAsia="Times New Roman" w:cs="Arial"/>
          <w:sz w:val="20"/>
          <w:szCs w:val="20"/>
          <w:lang w:eastAsia="x-none"/>
        </w:rPr>
        <w:t>,- Kč (</w:t>
      </w:r>
      <w:r w:rsidR="00EF568D">
        <w:rPr>
          <w:rFonts w:eastAsia="Times New Roman" w:cs="Arial"/>
          <w:sz w:val="20"/>
          <w:szCs w:val="20"/>
          <w:lang w:eastAsia="x-none"/>
        </w:rPr>
        <w:t>šest set padesát tisíc</w:t>
      </w:r>
      <w:r w:rsidRPr="00D45CB2">
        <w:rPr>
          <w:rFonts w:eastAsia="Times New Roman" w:cs="Arial"/>
          <w:sz w:val="20"/>
          <w:szCs w:val="20"/>
          <w:lang w:eastAsia="x-none"/>
        </w:rPr>
        <w:t xml:space="preserve"> korun českých) za uspořádání Druhého </w:t>
      </w:r>
      <w:proofErr w:type="spellStart"/>
      <w:r>
        <w:rPr>
          <w:rFonts w:eastAsia="Times New Roman" w:cs="Arial"/>
          <w:sz w:val="20"/>
          <w:szCs w:val="20"/>
          <w:lang w:eastAsia="x-none"/>
        </w:rPr>
        <w:t>wrap</w:t>
      </w:r>
      <w:proofErr w:type="spellEnd"/>
      <w:r>
        <w:rPr>
          <w:rFonts w:eastAsia="Times New Roman" w:cs="Arial"/>
          <w:sz w:val="20"/>
          <w:szCs w:val="20"/>
          <w:lang w:eastAsia="x-none"/>
        </w:rPr>
        <w:t xml:space="preserve"> </w:t>
      </w:r>
      <w:r w:rsidRPr="00D45CB2">
        <w:rPr>
          <w:rFonts w:eastAsia="Times New Roman" w:cs="Arial"/>
          <w:sz w:val="20"/>
          <w:szCs w:val="20"/>
          <w:lang w:eastAsia="x-none"/>
        </w:rPr>
        <w:t>up workshopu dle čl. 9.</w:t>
      </w:r>
      <w:r>
        <w:rPr>
          <w:rFonts w:eastAsia="Times New Roman" w:cs="Arial"/>
          <w:sz w:val="20"/>
          <w:szCs w:val="20"/>
          <w:lang w:eastAsia="x-none"/>
        </w:rPr>
        <w:t>6</w:t>
      </w:r>
      <w:r w:rsidRPr="00D45CB2">
        <w:rPr>
          <w:rFonts w:eastAsia="Times New Roman" w:cs="Arial"/>
          <w:sz w:val="20"/>
          <w:szCs w:val="20"/>
          <w:lang w:eastAsia="x-none"/>
        </w:rPr>
        <w:t xml:space="preserve"> Smlouvy</w:t>
      </w:r>
      <w:r>
        <w:rPr>
          <w:rFonts w:eastAsia="Times New Roman" w:cs="Arial"/>
          <w:sz w:val="20"/>
          <w:szCs w:val="20"/>
          <w:lang w:eastAsia="x-none"/>
        </w:rPr>
        <w:t>.“</w:t>
      </w:r>
    </w:p>
    <w:p w:rsidR="00403F31" w:rsidRPr="00895575" w:rsidRDefault="00895575" w:rsidP="00780A3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03788E">
        <w:rPr>
          <w:rFonts w:eastAsia="Times New Roman" w:cs="Arial"/>
          <w:sz w:val="20"/>
          <w:szCs w:val="20"/>
          <w:lang w:eastAsia="x-none"/>
        </w:rPr>
        <w:t xml:space="preserve">Článek </w:t>
      </w:r>
      <w:r>
        <w:rPr>
          <w:rFonts w:eastAsia="Times New Roman" w:cs="Arial"/>
          <w:sz w:val="20"/>
          <w:szCs w:val="20"/>
          <w:lang w:eastAsia="x-none"/>
        </w:rPr>
        <w:t>13.1.8</w:t>
      </w:r>
      <w:r w:rsidRPr="0003788E">
        <w:rPr>
          <w:rFonts w:eastAsia="Times New Roman" w:cs="Arial"/>
          <w:sz w:val="20"/>
          <w:szCs w:val="20"/>
          <w:lang w:eastAsia="x-none"/>
        </w:rPr>
        <w:t xml:space="preserve"> Smlouvy se mění tak, že nově zní:</w:t>
      </w:r>
    </w:p>
    <w:p w:rsidR="00895575" w:rsidRPr="00403F31" w:rsidRDefault="00895575" w:rsidP="00895575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 xml:space="preserve">„13.1.8 </w:t>
      </w:r>
      <w:r w:rsidRPr="00895575">
        <w:rPr>
          <w:rFonts w:eastAsia="Times New Roman" w:cs="Arial"/>
          <w:sz w:val="20"/>
          <w:szCs w:val="20"/>
          <w:lang w:eastAsia="x-none"/>
        </w:rPr>
        <w:t xml:space="preserve">uspořádat kterýkoliv Workshop dle Smlouvy (Přípravný workshop dle čl. 6.4 Smlouvy; První hlavní workshop dle čl. 8.1 Smlouvy; První </w:t>
      </w:r>
      <w:proofErr w:type="spellStart"/>
      <w:r w:rsidRPr="00895575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Pr="00895575">
        <w:rPr>
          <w:rFonts w:eastAsia="Times New Roman" w:cs="Arial"/>
          <w:sz w:val="20"/>
          <w:szCs w:val="20"/>
          <w:lang w:eastAsia="x-none"/>
        </w:rPr>
        <w:t xml:space="preserve"> up workshop dle čl. 8.4 Smlouvy; </w:t>
      </w:r>
      <w:proofErr w:type="spellStart"/>
      <w:r w:rsidRPr="00895575">
        <w:rPr>
          <w:rFonts w:eastAsia="Times New Roman" w:cs="Arial"/>
          <w:sz w:val="20"/>
          <w:szCs w:val="20"/>
          <w:lang w:eastAsia="x-none"/>
        </w:rPr>
        <w:t>Wrap</w:t>
      </w:r>
      <w:proofErr w:type="spellEnd"/>
      <w:r w:rsidRPr="00895575">
        <w:rPr>
          <w:rFonts w:eastAsia="Times New Roman" w:cs="Arial"/>
          <w:sz w:val="20"/>
          <w:szCs w:val="20"/>
          <w:lang w:eastAsia="x-none"/>
        </w:rPr>
        <w:t xml:space="preserve"> up workshop dle čl. 8.6 Smlouvy; Druhý hlavní workshop dle čl. 9.1 Smlouvy; Druhý </w:t>
      </w:r>
      <w:proofErr w:type="spellStart"/>
      <w:r w:rsidRPr="00895575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Pr="00895575">
        <w:rPr>
          <w:rFonts w:eastAsia="Times New Roman" w:cs="Arial"/>
          <w:sz w:val="20"/>
          <w:szCs w:val="20"/>
          <w:lang w:eastAsia="x-none"/>
        </w:rPr>
        <w:t xml:space="preserve"> up workshop dle čl. 9.4 Smlouvy</w:t>
      </w:r>
      <w:r>
        <w:rPr>
          <w:rFonts w:eastAsia="Times New Roman" w:cs="Arial"/>
          <w:sz w:val="20"/>
          <w:szCs w:val="20"/>
          <w:lang w:eastAsia="x-none"/>
        </w:rPr>
        <w:t xml:space="preserve">; Druhý </w:t>
      </w:r>
      <w:proofErr w:type="spellStart"/>
      <w:r>
        <w:rPr>
          <w:rFonts w:eastAsia="Times New Roman" w:cs="Arial"/>
          <w:sz w:val="20"/>
          <w:szCs w:val="20"/>
          <w:lang w:eastAsia="x-none"/>
        </w:rPr>
        <w:t>wrap</w:t>
      </w:r>
      <w:proofErr w:type="spellEnd"/>
      <w:r>
        <w:rPr>
          <w:rFonts w:eastAsia="Times New Roman" w:cs="Arial"/>
          <w:sz w:val="20"/>
          <w:szCs w:val="20"/>
          <w:lang w:eastAsia="x-none"/>
        </w:rPr>
        <w:t xml:space="preserve"> up workshop dle čl. 9.6 Smlouvy</w:t>
      </w:r>
      <w:r w:rsidRPr="00895575">
        <w:rPr>
          <w:rFonts w:eastAsia="Times New Roman" w:cs="Arial"/>
          <w:sz w:val="20"/>
          <w:szCs w:val="20"/>
          <w:lang w:eastAsia="x-none"/>
        </w:rPr>
        <w:t>)</w:t>
      </w:r>
      <w:r w:rsidR="004C57CA">
        <w:rPr>
          <w:rFonts w:eastAsia="Times New Roman" w:cs="Arial"/>
          <w:sz w:val="20"/>
          <w:szCs w:val="20"/>
          <w:lang w:eastAsia="x-none"/>
        </w:rPr>
        <w:t>.“</w:t>
      </w:r>
    </w:p>
    <w:p w:rsidR="00780A3F" w:rsidRPr="00780A3F" w:rsidRDefault="00780A3F" w:rsidP="00780A3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BA219E">
        <w:rPr>
          <w:rFonts w:eastAsia="Times New Roman" w:cs="Arial"/>
          <w:sz w:val="20"/>
          <w:szCs w:val="20"/>
          <w:lang w:eastAsia="x-none"/>
        </w:rPr>
        <w:t xml:space="preserve">Za ustanovení článku </w:t>
      </w:r>
      <w:r>
        <w:rPr>
          <w:rFonts w:eastAsia="Times New Roman" w:cs="Arial"/>
          <w:sz w:val="20"/>
          <w:szCs w:val="20"/>
          <w:lang w:eastAsia="x-none"/>
        </w:rPr>
        <w:t>13.3.5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</w:t>
      </w:r>
      <w:r w:rsidRPr="00A26DEA">
        <w:rPr>
          <w:rFonts w:eastAsia="Times New Roman" w:cs="Arial"/>
          <w:sz w:val="20"/>
          <w:szCs w:val="20"/>
          <w:lang w:eastAsia="x-none"/>
        </w:rPr>
        <w:t>vklád</w:t>
      </w:r>
      <w:r>
        <w:rPr>
          <w:rFonts w:eastAsia="Times New Roman" w:cs="Arial"/>
          <w:sz w:val="20"/>
          <w:szCs w:val="20"/>
          <w:lang w:eastAsia="x-none"/>
        </w:rPr>
        <w:t>á nový článe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k </w:t>
      </w:r>
      <w:r>
        <w:rPr>
          <w:rFonts w:eastAsia="Times New Roman" w:cs="Arial"/>
          <w:sz w:val="20"/>
          <w:szCs w:val="20"/>
          <w:lang w:eastAsia="x-none"/>
        </w:rPr>
        <w:t>13.3.6</w:t>
      </w:r>
      <w:r w:rsidRPr="00A26DEA">
        <w:rPr>
          <w:rFonts w:eastAsia="Times New Roman" w:cs="Arial"/>
          <w:sz w:val="20"/>
          <w:szCs w:val="20"/>
          <w:lang w:eastAsia="x-none"/>
        </w:rPr>
        <w:t xml:space="preserve"> Smlouvy v tomto znění</w:t>
      </w:r>
      <w:r>
        <w:rPr>
          <w:rFonts w:eastAsia="Times New Roman" w:cs="Arial"/>
          <w:sz w:val="20"/>
          <w:szCs w:val="20"/>
          <w:lang w:eastAsia="x-none"/>
        </w:rPr>
        <w:t>:</w:t>
      </w:r>
    </w:p>
    <w:p w:rsidR="00780A3F" w:rsidRPr="00C04B9A" w:rsidRDefault="00780A3F" w:rsidP="00780A3F">
      <w:pPr>
        <w:overflowPunct w:val="0"/>
        <w:autoSpaceDE w:val="0"/>
        <w:autoSpaceDN w:val="0"/>
        <w:adjustRightInd w:val="0"/>
        <w:spacing w:before="120" w:after="120" w:line="24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Pr="00780A3F">
        <w:rPr>
          <w:rFonts w:eastAsia="Times New Roman" w:cs="Arial"/>
          <w:sz w:val="20"/>
          <w:szCs w:val="20"/>
          <w:lang w:eastAsia="x-none"/>
        </w:rPr>
        <w:t>13.3.</w:t>
      </w:r>
      <w:r>
        <w:rPr>
          <w:rFonts w:eastAsia="Times New Roman" w:cs="Arial"/>
          <w:sz w:val="20"/>
          <w:szCs w:val="20"/>
          <w:lang w:eastAsia="x-none"/>
        </w:rPr>
        <w:t>6</w:t>
      </w:r>
      <w:r w:rsidRPr="00780A3F">
        <w:rPr>
          <w:rFonts w:eastAsia="Times New Roman" w:cs="Arial"/>
          <w:sz w:val="20"/>
          <w:szCs w:val="20"/>
          <w:lang w:eastAsia="x-none"/>
        </w:rPr>
        <w:t>.</w:t>
      </w:r>
      <w:r w:rsidRPr="00780A3F">
        <w:rPr>
          <w:rFonts w:eastAsia="Times New Roman" w:cs="Arial"/>
          <w:sz w:val="20"/>
          <w:szCs w:val="20"/>
          <w:lang w:eastAsia="x-none"/>
        </w:rPr>
        <w:tab/>
        <w:t>poskytnout konzultaci dle čl. 9.</w:t>
      </w:r>
      <w:r>
        <w:rPr>
          <w:rFonts w:eastAsia="Times New Roman" w:cs="Arial"/>
          <w:sz w:val="20"/>
          <w:szCs w:val="20"/>
          <w:lang w:eastAsia="x-none"/>
        </w:rPr>
        <w:t>5</w:t>
      </w:r>
      <w:r w:rsidRPr="00780A3F">
        <w:rPr>
          <w:rFonts w:eastAsia="Times New Roman" w:cs="Arial"/>
          <w:sz w:val="20"/>
          <w:szCs w:val="20"/>
          <w:lang w:eastAsia="x-none"/>
        </w:rPr>
        <w:t xml:space="preserve"> Smlouvy</w:t>
      </w:r>
      <w:r>
        <w:rPr>
          <w:rFonts w:eastAsia="Times New Roman" w:cs="Arial"/>
          <w:sz w:val="20"/>
          <w:szCs w:val="20"/>
          <w:lang w:eastAsia="x-none"/>
        </w:rPr>
        <w:t>.“</w:t>
      </w:r>
    </w:p>
    <w:p w:rsidR="00314450" w:rsidRPr="00B33002" w:rsidRDefault="00314450" w:rsidP="00B55F51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40" w:lineRule="atLeast"/>
        <w:ind w:left="709" w:hanging="709"/>
        <w:rPr>
          <w:rFonts w:ascii="Arial" w:hAnsi="Arial" w:cs="Arial"/>
          <w:b/>
          <w:caps/>
          <w:szCs w:val="20"/>
        </w:rPr>
      </w:pPr>
      <w:r w:rsidRPr="00B33002">
        <w:rPr>
          <w:rFonts w:ascii="Arial" w:hAnsi="Arial" w:cs="Arial"/>
          <w:b/>
          <w:caps/>
          <w:szCs w:val="20"/>
        </w:rPr>
        <w:t>Závěrečná ustanovení</w:t>
      </w:r>
    </w:p>
    <w:p w:rsidR="00CB41A9" w:rsidRPr="007A0987" w:rsidRDefault="00CB41A9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Ostatní ustanovení Smlouvy nedotčená tímto Dodatkem zůstávají v platnosti a účinnosti beze změny.</w:t>
      </w:r>
      <w:r w:rsidR="007A0987">
        <w:rPr>
          <w:rFonts w:eastAsia="Times New Roman" w:cs="Arial"/>
          <w:sz w:val="20"/>
          <w:szCs w:val="20"/>
          <w:lang w:eastAsia="x-none"/>
        </w:rPr>
        <w:t xml:space="preserve"> </w:t>
      </w:r>
    </w:p>
    <w:p w:rsidR="00314450" w:rsidRPr="002A3821" w:rsidRDefault="00314450" w:rsidP="00B55F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Tento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D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odatek nabývá platnosti dnem jeho podpisu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oběma </w:t>
      </w:r>
      <w:r w:rsidRPr="002A3821">
        <w:rPr>
          <w:rFonts w:eastAsia="Times New Roman" w:cs="Arial"/>
          <w:sz w:val="20"/>
          <w:szCs w:val="20"/>
          <w:lang w:val="x-none" w:eastAsia="x-none"/>
        </w:rPr>
        <w:t>Smluvními stranami</w:t>
      </w:r>
      <w:r w:rsidR="00157584">
        <w:rPr>
          <w:rFonts w:eastAsia="Times New Roman" w:cs="Arial"/>
          <w:sz w:val="20"/>
          <w:szCs w:val="20"/>
          <w:lang w:val="x-none" w:eastAsia="x-none"/>
        </w:rPr>
        <w:t xml:space="preserve"> a účinnosti dnem uveřejnění </w:t>
      </w:r>
      <w:r w:rsidR="00157584">
        <w:rPr>
          <w:rFonts w:eastAsia="Times New Roman" w:cs="Arial"/>
          <w:sz w:val="20"/>
          <w:szCs w:val="20"/>
          <w:lang w:eastAsia="x-none"/>
        </w:rPr>
        <w:t>prostřednictvím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> </w:t>
      </w:r>
      <w:r w:rsidR="00B33002" w:rsidRPr="002A3821">
        <w:rPr>
          <w:rFonts w:eastAsia="Times New Roman" w:cs="Arial"/>
          <w:sz w:val="20"/>
          <w:szCs w:val="20"/>
          <w:lang w:val="x-none" w:eastAsia="x-none"/>
        </w:rPr>
        <w:t>registru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smluv dle zákona č. 340/2015 Sb</w:t>
      </w:r>
      <w:r w:rsidR="008B2945" w:rsidRPr="002A3821">
        <w:rPr>
          <w:rFonts w:eastAsia="Times New Roman" w:cs="Arial"/>
          <w:sz w:val="20"/>
          <w:szCs w:val="20"/>
          <w:lang w:eastAsia="x-none"/>
        </w:rPr>
        <w:t>.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ve znění pozdějších předpisů</w:t>
      </w:r>
      <w:r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p w:rsidR="00763EA1" w:rsidRPr="002A3821" w:rsidRDefault="00621890" w:rsidP="008520B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Dodatek je vyhotoven</w:t>
      </w:r>
      <w:r w:rsidR="009B0266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ve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dvou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stejnopisech s platností originálu, přičemž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každá Smluvní strana </w:t>
      </w:r>
      <w:r w:rsidR="00A96EB5" w:rsidRPr="002A3821">
        <w:rPr>
          <w:rFonts w:eastAsia="Times New Roman" w:cs="Arial"/>
          <w:sz w:val="20"/>
          <w:szCs w:val="20"/>
          <w:lang w:eastAsia="x-none"/>
        </w:rPr>
        <w:t xml:space="preserve">obdrží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po jednom stejnopisu</w:t>
      </w:r>
      <w:r w:rsidR="00007669"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045ABF" w:rsidRPr="002A3821" w:rsidTr="00E6798F">
        <w:tc>
          <w:tcPr>
            <w:tcW w:w="4527" w:type="dxa"/>
          </w:tcPr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Objednatel</w:t>
            </w:r>
          </w:p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E4523E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V Praze dne </w:t>
            </w:r>
            <w:r w:rsidR="00157584" w:rsidRPr="00755EF9">
              <w:rPr>
                <w:rFonts w:cs="Arial"/>
                <w:color w:val="000000"/>
                <w:sz w:val="20"/>
                <w:szCs w:val="20"/>
              </w:rPr>
              <w:t>__.__</w:t>
            </w:r>
            <w:r w:rsidR="006D7023">
              <w:rPr>
                <w:rFonts w:cs="Arial"/>
                <w:color w:val="000000"/>
                <w:sz w:val="20"/>
                <w:szCs w:val="20"/>
              </w:rPr>
              <w:t>.</w:t>
            </w:r>
            <w:r w:rsidR="00D8054E"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  <w:p w:rsidR="00763EA1" w:rsidRPr="002A3821" w:rsidRDefault="00763EA1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93415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045ABF" w:rsidRPr="002A3821" w:rsidRDefault="00E4523E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Dodavatel</w:t>
            </w:r>
          </w:p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E4523E" w:rsidP="008520B9">
            <w:pPr>
              <w:spacing w:line="260" w:lineRule="atLeast"/>
            </w:pPr>
            <w:r w:rsidRPr="006D7023">
              <w:rPr>
                <w:rFonts w:cs="Arial"/>
                <w:color w:val="000000"/>
                <w:sz w:val="20"/>
                <w:szCs w:val="20"/>
              </w:rPr>
              <w:t xml:space="preserve">V Praze dne </w:t>
            </w:r>
            <w:r w:rsidR="00157584" w:rsidRPr="00755EF9">
              <w:rPr>
                <w:rFonts w:cs="Arial"/>
                <w:color w:val="000000"/>
                <w:sz w:val="20"/>
                <w:szCs w:val="20"/>
              </w:rPr>
              <w:t>__.__</w:t>
            </w:r>
            <w:r w:rsidR="006D7023" w:rsidRPr="00755EF9">
              <w:rPr>
                <w:rFonts w:cs="Arial"/>
                <w:color w:val="000000"/>
                <w:sz w:val="20"/>
                <w:szCs w:val="20"/>
              </w:rPr>
              <w:t>.</w:t>
            </w:r>
            <w:r w:rsidR="00D8054E"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  <w:p w:rsidR="00045ABF" w:rsidRPr="002A3821" w:rsidRDefault="00045ABF" w:rsidP="008520B9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045ABF" w:rsidP="008520B9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45ABF" w:rsidRPr="002A3821" w:rsidTr="00E6798F">
        <w:tc>
          <w:tcPr>
            <w:tcW w:w="4527" w:type="dxa"/>
          </w:tcPr>
          <w:p w:rsidR="00045ABF" w:rsidRPr="002A3821" w:rsidRDefault="00045ABF" w:rsidP="000D4BFF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045ABF" w:rsidRPr="002A3821" w:rsidRDefault="00E4523E" w:rsidP="000D4B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za Státní fond kinematografie</w:t>
            </w:r>
          </w:p>
          <w:p w:rsidR="00045ABF" w:rsidRPr="002A3821" w:rsidRDefault="00E4523E" w:rsidP="00E4523E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Mgr. Helena Bezděk Fraňková, ředitelka</w:t>
            </w:r>
          </w:p>
        </w:tc>
        <w:tc>
          <w:tcPr>
            <w:tcW w:w="4527" w:type="dxa"/>
          </w:tcPr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..............................................</w:t>
            </w:r>
          </w:p>
          <w:p w:rsidR="00045ABF" w:rsidRPr="002A3821" w:rsidRDefault="00E4523E" w:rsidP="007029D8">
            <w:pPr>
              <w:pStyle w:val="Textkomente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A3821">
              <w:rPr>
                <w:rFonts w:ascii="Arial" w:hAnsi="Arial" w:cs="Arial"/>
                <w:color w:val="000000"/>
              </w:rPr>
              <w:t>za Akademii múzických umění v Praze</w:t>
            </w:r>
          </w:p>
          <w:p w:rsidR="00045ABF" w:rsidRPr="002A3821" w:rsidRDefault="00E4523E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doc. Jan </w:t>
            </w:r>
            <w:proofErr w:type="spellStart"/>
            <w:r w:rsidRPr="002A3821">
              <w:rPr>
                <w:rFonts w:cs="Arial"/>
                <w:color w:val="000000"/>
                <w:sz w:val="20"/>
                <w:szCs w:val="20"/>
              </w:rPr>
              <w:t>Hančil</w:t>
            </w:r>
            <w:proofErr w:type="spellEnd"/>
            <w:r w:rsidRPr="002A3821">
              <w:rPr>
                <w:rFonts w:cs="Arial"/>
                <w:color w:val="000000"/>
                <w:sz w:val="20"/>
                <w:szCs w:val="20"/>
              </w:rPr>
              <w:t>, rektor</w:t>
            </w:r>
          </w:p>
        </w:tc>
      </w:tr>
    </w:tbl>
    <w:p w:rsidR="007029D8" w:rsidRPr="004E2024" w:rsidRDefault="007029D8" w:rsidP="001B5126">
      <w:pPr>
        <w:pStyle w:val="CZodstavec"/>
        <w:spacing w:line="260" w:lineRule="atLeast"/>
        <w:rPr>
          <w:rFonts w:ascii="Arial" w:hAnsi="Arial" w:cs="Arial"/>
        </w:rPr>
      </w:pPr>
    </w:p>
    <w:sectPr w:rsidR="007029D8" w:rsidRPr="004E2024" w:rsidSect="007937B2">
      <w:footerReference w:type="default" r:id="rId8"/>
      <w:headerReference w:type="first" r:id="rId9"/>
      <w:pgSz w:w="11906" w:h="16838"/>
      <w:pgMar w:top="1134" w:right="1418" w:bottom="992" w:left="1134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A7" w:rsidRDefault="003D78A7" w:rsidP="002A0527">
      <w:r>
        <w:separator/>
      </w:r>
    </w:p>
  </w:endnote>
  <w:endnote w:type="continuationSeparator" w:id="0">
    <w:p w:rsidR="003D78A7" w:rsidRDefault="003D78A7" w:rsidP="002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1D" w:rsidRDefault="000C181D" w:rsidP="00F461F3">
    <w:pPr>
      <w:pStyle w:val="Zpat"/>
      <w:tabs>
        <w:tab w:val="left" w:pos="5100"/>
      </w:tabs>
      <w:jc w:val="left"/>
    </w:pPr>
    <w:r>
      <w:rPr>
        <w:rStyle w:val="slostrnky"/>
        <w:rFonts w:cs="Arial"/>
        <w:sz w:val="18"/>
        <w:szCs w:val="18"/>
      </w:rPr>
      <w:tab/>
    </w:r>
    <w:r w:rsidRPr="00342016">
      <w:rPr>
        <w:rStyle w:val="slostrnky"/>
        <w:rFonts w:cs="Arial"/>
        <w:sz w:val="18"/>
        <w:szCs w:val="18"/>
      </w:rPr>
      <w:fldChar w:fldCharType="begin"/>
    </w:r>
    <w:r w:rsidRPr="00342016">
      <w:rPr>
        <w:rStyle w:val="slostrnky"/>
        <w:rFonts w:cs="Arial"/>
        <w:sz w:val="18"/>
        <w:szCs w:val="18"/>
      </w:rPr>
      <w:instrText xml:space="preserve"> PAGE </w:instrText>
    </w:r>
    <w:r w:rsidRPr="00342016">
      <w:rPr>
        <w:rStyle w:val="slostrnky"/>
        <w:rFonts w:cs="Arial"/>
        <w:sz w:val="18"/>
        <w:szCs w:val="18"/>
      </w:rPr>
      <w:fldChar w:fldCharType="separate"/>
    </w:r>
    <w:r w:rsidR="006C2F43">
      <w:rPr>
        <w:rStyle w:val="slostrnky"/>
        <w:rFonts w:cs="Arial"/>
        <w:noProof/>
        <w:sz w:val="18"/>
        <w:szCs w:val="18"/>
      </w:rPr>
      <w:t>2</w:t>
    </w:r>
    <w:r w:rsidRPr="00342016">
      <w:rPr>
        <w:rStyle w:val="slostrnk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A7" w:rsidRDefault="003D78A7" w:rsidP="002A0527">
      <w:r>
        <w:separator/>
      </w:r>
    </w:p>
  </w:footnote>
  <w:footnote w:type="continuationSeparator" w:id="0">
    <w:p w:rsidR="003D78A7" w:rsidRDefault="003D78A7" w:rsidP="002A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1D" w:rsidRDefault="000C181D" w:rsidP="00045ABF">
    <w:pPr>
      <w:pStyle w:val="Zhlav"/>
      <w:jc w:val="center"/>
      <w:rPr>
        <w:rFonts w:ascii="Arial" w:hAnsi="Arial" w:cs="Arial"/>
      </w:rPr>
    </w:pPr>
  </w:p>
  <w:p w:rsidR="000C181D" w:rsidRDefault="000C18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223F0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710"/>
        </w:tabs>
        <w:ind w:left="1559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426"/>
        </w:tabs>
        <w:ind w:left="2976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EA927EC"/>
    <w:multiLevelType w:val="hybridMultilevel"/>
    <w:tmpl w:val="F894F0BE"/>
    <w:lvl w:ilvl="0" w:tplc="E42E7040">
      <w:start w:val="1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3F8B"/>
    <w:multiLevelType w:val="multilevel"/>
    <w:tmpl w:val="6E4E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656218A"/>
    <w:multiLevelType w:val="hybridMultilevel"/>
    <w:tmpl w:val="EAC070DE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184A"/>
    <w:multiLevelType w:val="multilevel"/>
    <w:tmpl w:val="149036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299206FD"/>
    <w:multiLevelType w:val="hybridMultilevel"/>
    <w:tmpl w:val="A93E31B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EA363A8"/>
    <w:multiLevelType w:val="hybridMultilevel"/>
    <w:tmpl w:val="DFF07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3D17"/>
    <w:multiLevelType w:val="hybridMultilevel"/>
    <w:tmpl w:val="D3C47D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715478"/>
    <w:multiLevelType w:val="multilevel"/>
    <w:tmpl w:val="B198BD2A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43D34936"/>
    <w:multiLevelType w:val="multilevel"/>
    <w:tmpl w:val="F0824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E9"/>
    <w:rsid w:val="00007669"/>
    <w:rsid w:val="00014FE2"/>
    <w:rsid w:val="00015FDF"/>
    <w:rsid w:val="00021467"/>
    <w:rsid w:val="00023FA9"/>
    <w:rsid w:val="00026861"/>
    <w:rsid w:val="00037035"/>
    <w:rsid w:val="00037733"/>
    <w:rsid w:val="0003788E"/>
    <w:rsid w:val="00040CF3"/>
    <w:rsid w:val="00045ABF"/>
    <w:rsid w:val="000466F3"/>
    <w:rsid w:val="00052249"/>
    <w:rsid w:val="000552C0"/>
    <w:rsid w:val="00060E31"/>
    <w:rsid w:val="00066FB2"/>
    <w:rsid w:val="0007277B"/>
    <w:rsid w:val="00074D59"/>
    <w:rsid w:val="00093DFB"/>
    <w:rsid w:val="00094588"/>
    <w:rsid w:val="000A358A"/>
    <w:rsid w:val="000A6CF0"/>
    <w:rsid w:val="000A7CED"/>
    <w:rsid w:val="000B2740"/>
    <w:rsid w:val="000B6300"/>
    <w:rsid w:val="000B65F8"/>
    <w:rsid w:val="000C0884"/>
    <w:rsid w:val="000C181D"/>
    <w:rsid w:val="000C4E42"/>
    <w:rsid w:val="000D4BFF"/>
    <w:rsid w:val="000E1EAE"/>
    <w:rsid w:val="000F6358"/>
    <w:rsid w:val="00104DDE"/>
    <w:rsid w:val="001214F3"/>
    <w:rsid w:val="001419C0"/>
    <w:rsid w:val="0015575F"/>
    <w:rsid w:val="001561BF"/>
    <w:rsid w:val="00157584"/>
    <w:rsid w:val="00162B76"/>
    <w:rsid w:val="00167041"/>
    <w:rsid w:val="00167D31"/>
    <w:rsid w:val="0017307F"/>
    <w:rsid w:val="00176D5A"/>
    <w:rsid w:val="00180169"/>
    <w:rsid w:val="00184493"/>
    <w:rsid w:val="001B5126"/>
    <w:rsid w:val="001D45B8"/>
    <w:rsid w:val="0020448A"/>
    <w:rsid w:val="002078B3"/>
    <w:rsid w:val="002140AB"/>
    <w:rsid w:val="002156AF"/>
    <w:rsid w:val="00216CD7"/>
    <w:rsid w:val="002328A5"/>
    <w:rsid w:val="00232ECF"/>
    <w:rsid w:val="002371D4"/>
    <w:rsid w:val="0024084C"/>
    <w:rsid w:val="00241B88"/>
    <w:rsid w:val="00243804"/>
    <w:rsid w:val="00244DD2"/>
    <w:rsid w:val="00250D3F"/>
    <w:rsid w:val="00251D77"/>
    <w:rsid w:val="00252109"/>
    <w:rsid w:val="002532AB"/>
    <w:rsid w:val="002714A4"/>
    <w:rsid w:val="00271D0C"/>
    <w:rsid w:val="00273CC9"/>
    <w:rsid w:val="002808BC"/>
    <w:rsid w:val="00281981"/>
    <w:rsid w:val="002A0527"/>
    <w:rsid w:val="002A3821"/>
    <w:rsid w:val="002B2803"/>
    <w:rsid w:val="002B547E"/>
    <w:rsid w:val="002B5972"/>
    <w:rsid w:val="002B7C23"/>
    <w:rsid w:val="002E09F0"/>
    <w:rsid w:val="002E22E5"/>
    <w:rsid w:val="002E3231"/>
    <w:rsid w:val="002F03B7"/>
    <w:rsid w:val="00314450"/>
    <w:rsid w:val="0031469C"/>
    <w:rsid w:val="00314922"/>
    <w:rsid w:val="003168CE"/>
    <w:rsid w:val="003306B7"/>
    <w:rsid w:val="00330DCF"/>
    <w:rsid w:val="00336122"/>
    <w:rsid w:val="0033770F"/>
    <w:rsid w:val="0034235E"/>
    <w:rsid w:val="00343105"/>
    <w:rsid w:val="00346385"/>
    <w:rsid w:val="0034789A"/>
    <w:rsid w:val="003567E7"/>
    <w:rsid w:val="00362922"/>
    <w:rsid w:val="003670DA"/>
    <w:rsid w:val="00382D19"/>
    <w:rsid w:val="003861D7"/>
    <w:rsid w:val="003A3CFA"/>
    <w:rsid w:val="003C1AD4"/>
    <w:rsid w:val="003C77AC"/>
    <w:rsid w:val="003D372B"/>
    <w:rsid w:val="003D78A7"/>
    <w:rsid w:val="003E141C"/>
    <w:rsid w:val="004020AA"/>
    <w:rsid w:val="00402A69"/>
    <w:rsid w:val="00403F31"/>
    <w:rsid w:val="00410119"/>
    <w:rsid w:val="00413582"/>
    <w:rsid w:val="0041729A"/>
    <w:rsid w:val="00417E36"/>
    <w:rsid w:val="00433746"/>
    <w:rsid w:val="00457831"/>
    <w:rsid w:val="00494D75"/>
    <w:rsid w:val="004A5A2C"/>
    <w:rsid w:val="004B3965"/>
    <w:rsid w:val="004C0F7E"/>
    <w:rsid w:val="004C57CA"/>
    <w:rsid w:val="004C5F5F"/>
    <w:rsid w:val="004D315C"/>
    <w:rsid w:val="004D3AC0"/>
    <w:rsid w:val="004E2024"/>
    <w:rsid w:val="004E5873"/>
    <w:rsid w:val="004F3026"/>
    <w:rsid w:val="005118AC"/>
    <w:rsid w:val="005144AA"/>
    <w:rsid w:val="005209F7"/>
    <w:rsid w:val="005220DE"/>
    <w:rsid w:val="005237A7"/>
    <w:rsid w:val="00537273"/>
    <w:rsid w:val="00543A4D"/>
    <w:rsid w:val="00545C00"/>
    <w:rsid w:val="00554248"/>
    <w:rsid w:val="00574017"/>
    <w:rsid w:val="00574DEC"/>
    <w:rsid w:val="00581146"/>
    <w:rsid w:val="00587BC5"/>
    <w:rsid w:val="005940BA"/>
    <w:rsid w:val="005A3212"/>
    <w:rsid w:val="005A3933"/>
    <w:rsid w:val="005B1841"/>
    <w:rsid w:val="005B3F4C"/>
    <w:rsid w:val="005D2E9F"/>
    <w:rsid w:val="005D38AF"/>
    <w:rsid w:val="005D622E"/>
    <w:rsid w:val="005D7145"/>
    <w:rsid w:val="005E3350"/>
    <w:rsid w:val="005E3F0D"/>
    <w:rsid w:val="005E3F75"/>
    <w:rsid w:val="005E46CC"/>
    <w:rsid w:val="005F130B"/>
    <w:rsid w:val="005F604F"/>
    <w:rsid w:val="00606343"/>
    <w:rsid w:val="00607493"/>
    <w:rsid w:val="006171A7"/>
    <w:rsid w:val="00621890"/>
    <w:rsid w:val="00621D0B"/>
    <w:rsid w:val="006436C6"/>
    <w:rsid w:val="00660CA9"/>
    <w:rsid w:val="00671040"/>
    <w:rsid w:val="006730E6"/>
    <w:rsid w:val="006A13EF"/>
    <w:rsid w:val="006A1515"/>
    <w:rsid w:val="006A5FCA"/>
    <w:rsid w:val="006A6DBD"/>
    <w:rsid w:val="006B07EF"/>
    <w:rsid w:val="006B1969"/>
    <w:rsid w:val="006B6CAF"/>
    <w:rsid w:val="006C2F43"/>
    <w:rsid w:val="006D7023"/>
    <w:rsid w:val="006E0088"/>
    <w:rsid w:val="006E0620"/>
    <w:rsid w:val="007029D8"/>
    <w:rsid w:val="00702C00"/>
    <w:rsid w:val="007055BC"/>
    <w:rsid w:val="00706105"/>
    <w:rsid w:val="00736E34"/>
    <w:rsid w:val="00740F55"/>
    <w:rsid w:val="00743BC2"/>
    <w:rsid w:val="00755EF9"/>
    <w:rsid w:val="00757DCF"/>
    <w:rsid w:val="00760C75"/>
    <w:rsid w:val="00763EA1"/>
    <w:rsid w:val="00780A3F"/>
    <w:rsid w:val="00780C64"/>
    <w:rsid w:val="00790C08"/>
    <w:rsid w:val="00790D9A"/>
    <w:rsid w:val="007937B2"/>
    <w:rsid w:val="00796F24"/>
    <w:rsid w:val="007A0987"/>
    <w:rsid w:val="007A457D"/>
    <w:rsid w:val="007A5F74"/>
    <w:rsid w:val="007B0E10"/>
    <w:rsid w:val="007B7B13"/>
    <w:rsid w:val="007C3D8A"/>
    <w:rsid w:val="007C48F5"/>
    <w:rsid w:val="007E0B0A"/>
    <w:rsid w:val="007E7221"/>
    <w:rsid w:val="007F243B"/>
    <w:rsid w:val="00802603"/>
    <w:rsid w:val="008058D9"/>
    <w:rsid w:val="0082104D"/>
    <w:rsid w:val="0083193C"/>
    <w:rsid w:val="00832BC7"/>
    <w:rsid w:val="00835088"/>
    <w:rsid w:val="00836F3E"/>
    <w:rsid w:val="00840C94"/>
    <w:rsid w:val="00841F0C"/>
    <w:rsid w:val="0084241F"/>
    <w:rsid w:val="00842FC8"/>
    <w:rsid w:val="00843E4D"/>
    <w:rsid w:val="008520B9"/>
    <w:rsid w:val="00852D41"/>
    <w:rsid w:val="00867F69"/>
    <w:rsid w:val="008700DF"/>
    <w:rsid w:val="00870D70"/>
    <w:rsid w:val="00885ECB"/>
    <w:rsid w:val="00887B14"/>
    <w:rsid w:val="00895575"/>
    <w:rsid w:val="008B2945"/>
    <w:rsid w:val="008B4D74"/>
    <w:rsid w:val="008D5EB3"/>
    <w:rsid w:val="00905155"/>
    <w:rsid w:val="009175AA"/>
    <w:rsid w:val="0092552D"/>
    <w:rsid w:val="009272E8"/>
    <w:rsid w:val="009340E8"/>
    <w:rsid w:val="0093415F"/>
    <w:rsid w:val="0094087C"/>
    <w:rsid w:val="009465D0"/>
    <w:rsid w:val="00957225"/>
    <w:rsid w:val="00965525"/>
    <w:rsid w:val="0097329E"/>
    <w:rsid w:val="009914E7"/>
    <w:rsid w:val="00997CF9"/>
    <w:rsid w:val="009A3FE9"/>
    <w:rsid w:val="009A7B44"/>
    <w:rsid w:val="009B0266"/>
    <w:rsid w:val="009B4BE1"/>
    <w:rsid w:val="009C7FE7"/>
    <w:rsid w:val="009D4223"/>
    <w:rsid w:val="009E0F8F"/>
    <w:rsid w:val="009E3692"/>
    <w:rsid w:val="009F07A8"/>
    <w:rsid w:val="009F74F8"/>
    <w:rsid w:val="00A023EF"/>
    <w:rsid w:val="00A10943"/>
    <w:rsid w:val="00A120A1"/>
    <w:rsid w:val="00A15A2D"/>
    <w:rsid w:val="00A206F3"/>
    <w:rsid w:val="00A26DEA"/>
    <w:rsid w:val="00A3111A"/>
    <w:rsid w:val="00A34B80"/>
    <w:rsid w:val="00A40355"/>
    <w:rsid w:val="00A42E1E"/>
    <w:rsid w:val="00A44DD6"/>
    <w:rsid w:val="00A5300C"/>
    <w:rsid w:val="00A71B3C"/>
    <w:rsid w:val="00A71F1D"/>
    <w:rsid w:val="00A764BB"/>
    <w:rsid w:val="00A766DF"/>
    <w:rsid w:val="00A96EB5"/>
    <w:rsid w:val="00A97BEA"/>
    <w:rsid w:val="00AA0E73"/>
    <w:rsid w:val="00AD2CD5"/>
    <w:rsid w:val="00AD30FB"/>
    <w:rsid w:val="00AE1FED"/>
    <w:rsid w:val="00AF1011"/>
    <w:rsid w:val="00AF15AC"/>
    <w:rsid w:val="00AF1854"/>
    <w:rsid w:val="00AF4B54"/>
    <w:rsid w:val="00AF59BD"/>
    <w:rsid w:val="00AF60D8"/>
    <w:rsid w:val="00B07FBC"/>
    <w:rsid w:val="00B12F2F"/>
    <w:rsid w:val="00B22295"/>
    <w:rsid w:val="00B225F0"/>
    <w:rsid w:val="00B232CF"/>
    <w:rsid w:val="00B26D9F"/>
    <w:rsid w:val="00B3156E"/>
    <w:rsid w:val="00B33002"/>
    <w:rsid w:val="00B33016"/>
    <w:rsid w:val="00B34B6B"/>
    <w:rsid w:val="00B3794B"/>
    <w:rsid w:val="00B55F51"/>
    <w:rsid w:val="00B8100F"/>
    <w:rsid w:val="00B870D0"/>
    <w:rsid w:val="00B917F8"/>
    <w:rsid w:val="00B96BD6"/>
    <w:rsid w:val="00BA219E"/>
    <w:rsid w:val="00BA4DEB"/>
    <w:rsid w:val="00BA58CF"/>
    <w:rsid w:val="00BB3DF6"/>
    <w:rsid w:val="00BC47C2"/>
    <w:rsid w:val="00BC4BAF"/>
    <w:rsid w:val="00BE57C1"/>
    <w:rsid w:val="00BF079F"/>
    <w:rsid w:val="00BF2D1A"/>
    <w:rsid w:val="00BF649D"/>
    <w:rsid w:val="00BF709F"/>
    <w:rsid w:val="00C0404C"/>
    <w:rsid w:val="00C04B9A"/>
    <w:rsid w:val="00C061CB"/>
    <w:rsid w:val="00C13249"/>
    <w:rsid w:val="00C17B04"/>
    <w:rsid w:val="00C21F8B"/>
    <w:rsid w:val="00C311C7"/>
    <w:rsid w:val="00C41394"/>
    <w:rsid w:val="00C52217"/>
    <w:rsid w:val="00C55190"/>
    <w:rsid w:val="00C62E4D"/>
    <w:rsid w:val="00C74409"/>
    <w:rsid w:val="00C7597A"/>
    <w:rsid w:val="00C82267"/>
    <w:rsid w:val="00C86198"/>
    <w:rsid w:val="00C96401"/>
    <w:rsid w:val="00CA1E24"/>
    <w:rsid w:val="00CA3B66"/>
    <w:rsid w:val="00CA76C5"/>
    <w:rsid w:val="00CB4120"/>
    <w:rsid w:val="00CB41A9"/>
    <w:rsid w:val="00CB7F30"/>
    <w:rsid w:val="00CC2ACF"/>
    <w:rsid w:val="00CD2A74"/>
    <w:rsid w:val="00CE388E"/>
    <w:rsid w:val="00CF5A43"/>
    <w:rsid w:val="00D206FE"/>
    <w:rsid w:val="00D24C11"/>
    <w:rsid w:val="00D3184C"/>
    <w:rsid w:val="00D45454"/>
    <w:rsid w:val="00D45CB2"/>
    <w:rsid w:val="00D4687B"/>
    <w:rsid w:val="00D55350"/>
    <w:rsid w:val="00D57F23"/>
    <w:rsid w:val="00D73520"/>
    <w:rsid w:val="00D8054E"/>
    <w:rsid w:val="00D84397"/>
    <w:rsid w:val="00D90343"/>
    <w:rsid w:val="00D958BC"/>
    <w:rsid w:val="00DA4E4C"/>
    <w:rsid w:val="00DC4690"/>
    <w:rsid w:val="00DC68BE"/>
    <w:rsid w:val="00DC7F8A"/>
    <w:rsid w:val="00DD3451"/>
    <w:rsid w:val="00DE16EE"/>
    <w:rsid w:val="00DE2DF8"/>
    <w:rsid w:val="00DF1037"/>
    <w:rsid w:val="00DF3584"/>
    <w:rsid w:val="00E2162A"/>
    <w:rsid w:val="00E2391A"/>
    <w:rsid w:val="00E23CC4"/>
    <w:rsid w:val="00E31B5F"/>
    <w:rsid w:val="00E32761"/>
    <w:rsid w:val="00E4328A"/>
    <w:rsid w:val="00E4523E"/>
    <w:rsid w:val="00E46F16"/>
    <w:rsid w:val="00E62ADD"/>
    <w:rsid w:val="00E6700A"/>
    <w:rsid w:val="00E6798F"/>
    <w:rsid w:val="00E67E72"/>
    <w:rsid w:val="00E809EC"/>
    <w:rsid w:val="00E866F1"/>
    <w:rsid w:val="00EB04A2"/>
    <w:rsid w:val="00EB6BAE"/>
    <w:rsid w:val="00EB7CA4"/>
    <w:rsid w:val="00EC07FE"/>
    <w:rsid w:val="00EC46A4"/>
    <w:rsid w:val="00EC60C4"/>
    <w:rsid w:val="00EE368F"/>
    <w:rsid w:val="00EF568D"/>
    <w:rsid w:val="00F22B55"/>
    <w:rsid w:val="00F23008"/>
    <w:rsid w:val="00F2466F"/>
    <w:rsid w:val="00F331CB"/>
    <w:rsid w:val="00F33647"/>
    <w:rsid w:val="00F365DA"/>
    <w:rsid w:val="00F461F3"/>
    <w:rsid w:val="00F66E36"/>
    <w:rsid w:val="00F67C54"/>
    <w:rsid w:val="00F77E45"/>
    <w:rsid w:val="00F8355F"/>
    <w:rsid w:val="00F85429"/>
    <w:rsid w:val="00F91BE9"/>
    <w:rsid w:val="00FA03AE"/>
    <w:rsid w:val="00FA3C6B"/>
    <w:rsid w:val="00FA6A8A"/>
    <w:rsid w:val="00FB4149"/>
    <w:rsid w:val="00FB6A75"/>
    <w:rsid w:val="00FC6453"/>
    <w:rsid w:val="00FC747A"/>
    <w:rsid w:val="00FD1243"/>
    <w:rsid w:val="00FD2DFB"/>
    <w:rsid w:val="00FE00D5"/>
    <w:rsid w:val="00FE2C1B"/>
    <w:rsid w:val="00FF457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31E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Lev 2"/>
    <w:basedOn w:val="Normln"/>
    <w:link w:val="Nadpis2Char"/>
    <w:qFormat/>
    <w:rsid w:val="00F461F3"/>
    <w:pPr>
      <w:numPr>
        <w:ilvl w:val="1"/>
        <w:numId w:val="8"/>
      </w:numPr>
      <w:spacing w:after="120" w:line="280" w:lineRule="atLeast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F461F3"/>
    <w:pPr>
      <w:numPr>
        <w:ilvl w:val="2"/>
        <w:numId w:val="8"/>
      </w:numPr>
      <w:spacing w:after="120" w:line="280" w:lineRule="atLeast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F461F3"/>
    <w:pPr>
      <w:numPr>
        <w:ilvl w:val="3"/>
        <w:numId w:val="8"/>
      </w:numPr>
      <w:spacing w:after="120" w:line="280" w:lineRule="atLeast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F461F3"/>
    <w:pPr>
      <w:numPr>
        <w:ilvl w:val="4"/>
        <w:numId w:val="8"/>
      </w:numPr>
      <w:spacing w:after="120" w:line="280" w:lineRule="atLeast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F461F3"/>
    <w:pPr>
      <w:numPr>
        <w:ilvl w:val="5"/>
        <w:numId w:val="8"/>
      </w:numPr>
      <w:spacing w:after="120" w:line="280" w:lineRule="atLeast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F461F3"/>
    <w:pPr>
      <w:numPr>
        <w:ilvl w:val="6"/>
        <w:numId w:val="8"/>
      </w:numPr>
      <w:spacing w:after="120" w:line="280" w:lineRule="atLeast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F461F3"/>
    <w:pPr>
      <w:numPr>
        <w:ilvl w:val="7"/>
        <w:numId w:val="8"/>
      </w:numPr>
      <w:spacing w:after="120" w:line="280" w:lineRule="atLeast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F461F3"/>
    <w:pPr>
      <w:numPr>
        <w:ilvl w:val="8"/>
        <w:numId w:val="8"/>
      </w:numPr>
      <w:spacing w:after="120" w:line="280" w:lineRule="atLeast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1B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1BE9"/>
  </w:style>
  <w:style w:type="character" w:styleId="Hypertextovodkaz">
    <w:name w:val="Hyperlink"/>
    <w:basedOn w:val="Standardnpsmoodstavce"/>
    <w:uiPriority w:val="99"/>
    <w:semiHidden/>
    <w:unhideWhenUsed/>
    <w:rsid w:val="00F91B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1CB"/>
    <w:pPr>
      <w:tabs>
        <w:tab w:val="center" w:pos="4536"/>
        <w:tab w:val="right" w:pos="9072"/>
      </w:tabs>
      <w:jc w:val="left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F331CB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2A0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527"/>
  </w:style>
  <w:style w:type="paragraph" w:customStyle="1" w:styleId="CZNadpis">
    <w:name w:val="CZ Nadpis"/>
    <w:basedOn w:val="Normln"/>
    <w:rsid w:val="002A0527"/>
    <w:pPr>
      <w:spacing w:line="288" w:lineRule="auto"/>
      <w:jc w:val="center"/>
    </w:pPr>
    <w:rPr>
      <w:rFonts w:ascii="Century Gothic" w:eastAsia="Calibri" w:hAnsi="Century Gothic" w:cs="Times New Roman"/>
      <w:b/>
      <w:sz w:val="28"/>
      <w:szCs w:val="24"/>
      <w:lang w:eastAsia="cs-CZ"/>
    </w:rPr>
  </w:style>
  <w:style w:type="paragraph" w:customStyle="1" w:styleId="CZZkladntext">
    <w:name w:val="CZ Základní text"/>
    <w:basedOn w:val="Normln"/>
    <w:rsid w:val="002A0527"/>
    <w:pPr>
      <w:spacing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2A0527"/>
    <w:pPr>
      <w:spacing w:line="288" w:lineRule="auto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ervenChar">
    <w:name w:val="CZ červeně Char"/>
    <w:rsid w:val="002A0527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2A0527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007669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235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B0266"/>
  </w:style>
  <w:style w:type="paragraph" w:customStyle="1" w:styleId="Identifikacestran">
    <w:name w:val="Identifikace stran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045ABF"/>
    <w:pPr>
      <w:spacing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045AB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5ABF"/>
    <w:rPr>
      <w:rFonts w:ascii="Calibri" w:eastAsia="Calibri" w:hAnsi="Calibri" w:cs="Times New Roman"/>
      <w:sz w:val="20"/>
      <w:szCs w:val="20"/>
    </w:rPr>
  </w:style>
  <w:style w:type="character" w:customStyle="1" w:styleId="Nadpis2Char">
    <w:name w:val="Nadpis 2 Char"/>
    <w:aliases w:val="Lev 2 Char"/>
    <w:basedOn w:val="Standardnpsmoodstavce"/>
    <w:link w:val="Nadpis2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61F3"/>
  </w:style>
  <w:style w:type="character" w:styleId="Odkaznakoment">
    <w:name w:val="annotation reference"/>
    <w:basedOn w:val="Standardnpsmoodstavce"/>
    <w:uiPriority w:val="99"/>
    <w:semiHidden/>
    <w:unhideWhenUsed/>
    <w:rsid w:val="00BA4DE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EB"/>
    <w:pPr>
      <w:spacing w:after="0" w:line="240" w:lineRule="auto"/>
      <w:jc w:val="both"/>
    </w:pPr>
    <w:rPr>
      <w:rFonts w:ascii="Arial" w:eastAsiaTheme="minorHAnsi" w:hAnsi="Arial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E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E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22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6C44-32DF-1845-8E75-681B9DE1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2019-10-10T15:34:00Z</dcterms:created>
  <dcterms:modified xsi:type="dcterms:W3CDTF">2019-10-10T15:34:00Z</dcterms:modified>
</cp:coreProperties>
</file>