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B747FA" w:rsidRPr="00B747FA" w:rsidP="00B747F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B747FA">
        <w:rPr>
          <w:rFonts w:eastAsia="Times New Roman" w:cstheme="minorHAnsi"/>
          <w:color w:val="333333"/>
          <w:sz w:val="24"/>
          <w:szCs w:val="24"/>
          <w:lang w:eastAsia="cs-CZ"/>
        </w:rPr>
        <w:br/>
      </w:r>
      <w:r w:rsidRPr="00B747FA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SMLOUVA O DÍLO</w:t>
      </w:r>
      <w:r w:rsidRPr="00B747FA">
        <w:rPr>
          <w:rFonts w:eastAsia="Times New Roman" w:cstheme="minorHAnsi"/>
          <w:color w:val="333333"/>
          <w:sz w:val="28"/>
          <w:szCs w:val="28"/>
          <w:lang w:eastAsia="cs-CZ"/>
        </w:rPr>
        <w:br/>
        <w:t> </w:t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Střední odborné učiliště stavební, Plzeň</w:t>
      </w:r>
      <w:r w:rsidR="00BA19E0">
        <w:rPr>
          <w:rFonts w:eastAsia="Times New Roman" w:cstheme="minorHAnsi"/>
          <w:color w:val="000000"/>
          <w:sz w:val="24"/>
          <w:szCs w:val="24"/>
          <w:lang w:eastAsia="cs-CZ"/>
        </w:rPr>
        <w:t>, Borská 55</w:t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zastoupené: Mgr. Miloslavem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Šteffkem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, ředitelem</w:t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IČ: 00497061</w:t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se sídlem:</w:t>
      </w:r>
      <w:r w:rsidR="00BA19E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Borská 2718/55,</w:t>
      </w:r>
      <w:r w:rsidR="00BA19E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Jižní Předměstí,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301 00  Plzeň</w:t>
      </w:r>
    </w:p>
    <w:p w:rsidR="003564C1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(dále jen jako „</w:t>
      </w: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Objednatel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“ na straně jedné)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3564C1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a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Martin Otec</w:t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IČ: 42830940</w:t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se sídlem: Dlouhá 1016, 330 27  Vejprnice</w:t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(dále jen jako „</w:t>
      </w: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Zhotovitel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“ na straně druhé)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B747FA" w:rsidP="00B747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uzavírají níže uvedeného dne, měsíce a roku podle § 2586 a násl. zákona č. 89/2012 Sb., občanský zákoník, ve znění pozdějších předpisů, tuto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B747FA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smlouvu o dílo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 (dále jen „</w:t>
      </w: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Smlouva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“)</w:t>
      </w:r>
    </w:p>
    <w:p w:rsidR="003564C1" w:rsidP="00B747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747FA" w:rsidRPr="00B747FA" w:rsidP="00B747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B747FA" w:rsidRPr="00B747FA" w:rsidP="00B747F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Předmět Smlouvy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B747FA" w:rsidP="00B747F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Zhotovitel se touto smlouvou zavazuje provést na svůj náklad a nebezpečí pro objednatele za podmínek níže uvedených dílo: 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Částečnou rekonstrukci objektu v Harantově ulici v Plzni 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(dále jen „Dílo“) a objednatel se zavazuje Dílo převzít a zaplatit za něj Zhotoviteli cenu, která je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sjednána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v čl.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II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této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Smlouvy.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3564C1" w:rsidRPr="00B747FA" w:rsidP="00B747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747FA" w:rsidRPr="00B747FA" w:rsidP="00B747F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II.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Cena Díla a způsob úhrady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2310D6" w:rsidP="00B747F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Smluvní strany se dohodly, že </w:t>
      </w:r>
      <w:r w:rsidR="00BA19E0">
        <w:rPr>
          <w:rFonts w:eastAsia="Times New Roman" w:cstheme="minorHAnsi"/>
          <w:b/>
          <w:color w:val="000000"/>
          <w:sz w:val="24"/>
          <w:szCs w:val="24"/>
          <w:lang w:eastAsia="cs-CZ"/>
        </w:rPr>
        <w:t>celková cena D</w:t>
      </w:r>
      <w:r w:rsidRPr="00B747FA">
        <w:rPr>
          <w:rFonts w:eastAsia="Times New Roman" w:cstheme="minorHAnsi"/>
          <w:b/>
          <w:color w:val="000000"/>
          <w:sz w:val="24"/>
          <w:szCs w:val="24"/>
          <w:lang w:eastAsia="cs-CZ"/>
        </w:rPr>
        <w:t>íla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bude činit částku ve výši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978.500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,- Kč (slovy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devětsetsedmdesátosmtisícpětsetkorunčeských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) +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21%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DPH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tj. </w:t>
      </w:r>
      <w:r w:rsidRPr="00B747FA">
        <w:rPr>
          <w:rFonts w:eastAsia="Times New Roman" w:cstheme="minorHAnsi"/>
          <w:b/>
          <w:color w:val="000000"/>
          <w:sz w:val="24"/>
          <w:szCs w:val="24"/>
          <w:lang w:eastAsia="cs-CZ"/>
        </w:rPr>
        <w:t>1.183.985,- Kč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bude uhrazena na účet Zhotovitele 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č.ú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1361112002/5500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vedený u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Raiffeisenbank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ve lhůtě 15 dní od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převzetí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Díla.</w:t>
      </w:r>
    </w:p>
    <w:p w:rsidR="00B747FA" w:rsidP="00B747F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Zhotovitel se zavazuje uhradit Objednateli energie spotřebované během zhotovená Díla. </w:t>
      </w:r>
      <w:bookmarkStart w:id="0" w:name="_GoBack"/>
      <w:bookmarkEnd w:id="0"/>
    </w:p>
    <w:p w:rsidR="003564C1" w:rsidRPr="00B747FA" w:rsidP="00B747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747FA" w:rsidRPr="00B747FA" w:rsidP="00B747F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III.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BA19E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Termín zhotovení D</w:t>
      </w: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íla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B747FA" w:rsidRPr="00B747FA" w:rsidP="00B747F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Smluvní strany se dohodly, že Dílo bude Zhotovitelem provedeno </w:t>
      </w:r>
      <w:r w:rsidRPr="00B747FA">
        <w:rPr>
          <w:rFonts w:eastAsia="Times New Roman" w:cstheme="minorHAnsi"/>
          <w:b/>
          <w:color w:val="000000"/>
          <w:sz w:val="24"/>
          <w:szCs w:val="24"/>
          <w:lang w:eastAsia="cs-CZ"/>
        </w:rPr>
        <w:t>v termínu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F667B7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nejpozději</w:t>
      </w:r>
      <w:r w:rsidRPr="00F667B7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do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F667B7">
        <w:rPr>
          <w:rFonts w:eastAsia="Times New Roman" w:cstheme="minorHAnsi"/>
          <w:b/>
          <w:color w:val="000000"/>
          <w:sz w:val="24"/>
          <w:szCs w:val="24"/>
          <w:lang w:eastAsia="cs-CZ"/>
        </w:rPr>
        <w:t>10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. prosince 2019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B747FA" w:rsidRPr="00B747FA" w:rsidP="00B747F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IV.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Předání a převzetí Díla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F667B7" w:rsidP="00B747F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K předání a převzetí Díla dojde do dvou dnů od jeho z</w:t>
      </w:r>
      <w:r w:rsidR="0087748B">
        <w:rPr>
          <w:rFonts w:eastAsia="Times New Roman" w:cstheme="minorHAnsi"/>
          <w:color w:val="000000"/>
          <w:sz w:val="24"/>
          <w:szCs w:val="24"/>
          <w:lang w:eastAsia="cs-CZ"/>
        </w:rPr>
        <w:t>hotovení, nejpozději však bude D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ílo zhotoveno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předáno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termínu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uvedeným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v čl.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III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této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smlouvy.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O předání a převzetí Díla bude Smluvními stranami vyhotoven předávací protokol.</w:t>
      </w:r>
    </w:p>
    <w:p w:rsidR="00F667B7" w:rsidP="00B747F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747FA" w:rsidRPr="00B747FA" w:rsidP="00B747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667B7">
        <w:rPr>
          <w:rFonts w:eastAsia="Times New Roman" w:cstheme="minorHAnsi"/>
          <w:b/>
          <w:color w:val="000000"/>
          <w:sz w:val="24"/>
          <w:szCs w:val="24"/>
          <w:lang w:eastAsia="cs-CZ"/>
        </w:rPr>
        <w:t>Objednateli bude vykonávat stavební dozor paní Helena Kermesová (tel: 723 254 145), se kterou je zhotovitel povinen konzultovat prováděné práce.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Smluvní strany se pro případ prodlení objednatele se zaplacením ceny Díla dohodly na smluvní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pokutě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ve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výši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0,05%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za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každý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den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prodlení.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na slevu z ceny Díla ve výši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0,05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% za každých započatých 7 dní prodlení.</w:t>
      </w:r>
    </w:p>
    <w:p w:rsidR="003564C1" w:rsidP="00B747F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747FA" w:rsidRPr="00B747FA" w:rsidP="00B747F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V.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Odpovědnost za vady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B747FA" w:rsidP="003564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Zhotovitel poskytne na Dílo záruku po dobu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48 měsíců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od předání Díla objednateli. Záruka se nevztahuje na vady díla, které budou způsobeny vadami materiálu, který 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předal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zhotoviteli podle</w:t>
      </w:r>
      <w:r w:rsidR="003564C1">
        <w:rPr>
          <w:rFonts w:eastAsia="Times New Roman" w:cstheme="minorHAnsi"/>
          <w:color w:val="000000"/>
          <w:sz w:val="24"/>
          <w:szCs w:val="24"/>
          <w:lang w:eastAsia="cs-CZ"/>
        </w:rPr>
        <w:t> čl.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III</w:t>
      </w:r>
      <w:r w:rsidR="003564C1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této</w:t>
      </w:r>
      <w:r w:rsidR="003564C1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Smlouvy</w:t>
      </w:r>
      <w:r w:rsidR="003564C1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objednatel.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Zhotovitel</w:t>
      </w:r>
      <w:r w:rsidR="003564C1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r w:rsidR="003564C1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zavazuje</w:t>
      </w:r>
      <w:r w:rsidR="003564C1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předat</w:t>
      </w:r>
      <w:r w:rsidR="003564C1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Dílo</w:t>
      </w:r>
      <w:r w:rsidR="003564C1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bez</w:t>
      </w:r>
      <w:r w:rsidR="003564C1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vad</w:t>
      </w:r>
      <w:r w:rsidR="003564C1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3564C1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nedodělků.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3564C1" w:rsidRPr="00B747FA" w:rsidP="003564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747FA" w:rsidRPr="00B747FA" w:rsidP="00B747F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VI.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B747F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Závěrečná ustanovení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</w:p>
    <w:p w:rsidR="003564C1" w:rsidP="003564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Tato Smlouva nabývá platnosti a účinnosti dnem jejího podpisu oběma Smluvními stranami.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Smlouva byla vyhotovena ve dvou stejnopisech, z nichž každá Smluvní strana obdrží po jednom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vyhotovení.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určitě,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nikoli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tísni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za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nápadně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nevýhodných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podmínek.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3564C1" w:rsidP="003564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3564C1" w:rsidP="003564C1">
      <w:pPr>
        <w:tabs>
          <w:tab w:val="left" w:pos="524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Plzni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t>dne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14. 10. 2019                         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V Plzni dne 14. 10. 2019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  <w:t> </w:t>
      </w:r>
      <w:r w:rsidRPr="00B747FA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3564C1" w:rsidP="003564C1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3564C1" w:rsidP="003564C1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3564C1" w:rsidP="003564C1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747FA" w:rsidP="003564C1">
      <w:pPr>
        <w:tabs>
          <w:tab w:val="left" w:pos="524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---------------------------------------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---------------------------------------</w:t>
      </w:r>
    </w:p>
    <w:p w:rsidR="003564C1" w:rsidP="003564C1">
      <w:pPr>
        <w:tabs>
          <w:tab w:val="left" w:pos="524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Mgr. Miloslav Šteffek, ředitel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              Martin Otec</w:t>
      </w:r>
    </w:p>
    <w:p w:rsidR="003564C1" w:rsidRPr="00B747FA" w:rsidP="003564C1">
      <w:pPr>
        <w:tabs>
          <w:tab w:val="left" w:pos="524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objednatel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                 zhotovitel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FA"/>
    <w:rsid w:val="00125764"/>
    <w:rsid w:val="002310D6"/>
    <w:rsid w:val="003564C1"/>
    <w:rsid w:val="0087748B"/>
    <w:rsid w:val="00B747FA"/>
    <w:rsid w:val="00BA19E0"/>
    <w:rsid w:val="00CB342E"/>
    <w:rsid w:val="00F667B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4FFABCB-52C7-4EA2-A088-317A48F0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Nadpis1Char"/>
    <w:uiPriority w:val="9"/>
    <w:qFormat/>
    <w:rsid w:val="00B74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B747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B7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B747FA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A1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BA1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Západočeské muzeum v Plzni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Trefná  Linda</dc:creator>
  <cp:lastModifiedBy>Luboš Soutner</cp:lastModifiedBy>
  <cp:revision>4</cp:revision>
  <cp:lastPrinted>2019-10-14T05:39:00Z</cp:lastPrinted>
  <dcterms:created xsi:type="dcterms:W3CDTF">2019-10-08T11:42:00Z</dcterms:created>
  <dcterms:modified xsi:type="dcterms:W3CDTF">2019-10-14T07:45:00Z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SOUSPL/1874/19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15.10.2019</vt:lpwstr>
  </property>
  <property fmtid="{D5CDD505-2E9C-101B-9397-08002B2CF9AE}" pid="11" name="DisplayName_CJCol">
    <vt:lpwstr>SOUSPL/1874/19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SOUSPL-2197/19</vt:lpwstr>
  </property>
  <property fmtid="{D5CDD505-2E9C-101B-9397-08002B2CF9AE}" pid="17" name="Key_BarCode_Pisemnost">
    <vt:lpwstr>*B001462122*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0/1</vt:lpwstr>
  </property>
  <property fmtid="{D5CDD505-2E9C-101B-9397-08002B2CF9AE}" pid="25" name="PocetPriloh_Pisemnost">
    <vt:lpwstr>1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1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smlouvy o dílo - Rekonstrukce Harantova</vt:lpwstr>
  </property>
  <property fmtid="{D5CDD505-2E9C-101B-9397-08002B2CF9AE}" pid="36" name="Zkratka_SpisovyUzel_PoziceZodpo_Pisemnost">
    <vt:lpwstr>SOUSPL</vt:lpwstr>
  </property>
</Properties>
</file>