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66" w:rsidRDefault="00C93966" w:rsidP="00C93966">
      <w:pPr>
        <w:rPr>
          <w:rFonts w:asciiTheme="majorHAnsi" w:hAnsiTheme="majorHAnsi"/>
          <w:sz w:val="24"/>
        </w:rPr>
      </w:pPr>
      <w:bookmarkStart w:id="0" w:name="_GoBack"/>
      <w:bookmarkEnd w:id="0"/>
      <w:r w:rsidRPr="00C93966">
        <w:rPr>
          <w:rFonts w:asciiTheme="majorHAnsi" w:hAnsiTheme="majorHAnsi"/>
          <w:sz w:val="24"/>
        </w:rPr>
        <w:t>Informace Objednatele na možná rizika v oblasti bezpečnosti práce v místech poskytování služeb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Příloha č. 4</w:t>
      </w:r>
    </w:p>
    <w:p w:rsidR="00C93966" w:rsidRPr="00C93966" w:rsidRDefault="00C93966" w:rsidP="00C93966">
      <w:pPr>
        <w:rPr>
          <w:rFonts w:asciiTheme="majorHAnsi" w:hAnsiTheme="majorHAnsi"/>
          <w:sz w:val="24"/>
        </w:rPr>
      </w:pPr>
    </w:p>
    <w:p w:rsidR="00B63087" w:rsidRDefault="00B63087" w:rsidP="00B63087">
      <w:pPr>
        <w:jc w:val="center"/>
        <w:rPr>
          <w:rFonts w:asciiTheme="majorHAnsi" w:hAnsiTheme="majorHAnsi"/>
          <w:b/>
          <w:sz w:val="24"/>
        </w:rPr>
      </w:pPr>
      <w:r w:rsidRPr="00B63087">
        <w:rPr>
          <w:rFonts w:asciiTheme="majorHAnsi" w:hAnsiTheme="majorHAnsi"/>
          <w:b/>
          <w:sz w:val="24"/>
        </w:rPr>
        <w:t xml:space="preserve">RIZIKA MOŽNÉHO OHROŽENÍ ZDRAVÍ A ŽIVOTA NA PRACOVIŠTÍCH </w:t>
      </w:r>
      <w:r w:rsidRPr="00B63087">
        <w:rPr>
          <w:rFonts w:asciiTheme="majorHAnsi" w:hAnsiTheme="majorHAnsi"/>
          <w:b/>
          <w:sz w:val="24"/>
        </w:rPr>
        <w:tab/>
      </w:r>
    </w:p>
    <w:p w:rsidR="00B63087" w:rsidRPr="00B63087" w:rsidRDefault="00B63087" w:rsidP="00B63087">
      <w:pPr>
        <w:jc w:val="center"/>
        <w:rPr>
          <w:rFonts w:asciiTheme="majorHAnsi" w:hAnsiTheme="majorHAnsi"/>
          <w:b/>
          <w:sz w:val="24"/>
        </w:rPr>
      </w:pPr>
      <w:r w:rsidRPr="00B63087">
        <w:rPr>
          <w:rFonts w:asciiTheme="majorHAnsi" w:hAnsiTheme="majorHAnsi"/>
          <w:b/>
          <w:sz w:val="24"/>
        </w:rPr>
        <w:t>organizace SDRUŽENÍ ZDRAVOTNICKÝCH ZAŘÍZENÍ Brno II, příspěvková organizace, Zahradníkova 2/8, Brno</w:t>
      </w:r>
    </w:p>
    <w:p w:rsidR="00B63087" w:rsidRPr="00B63087" w:rsidRDefault="00B63087" w:rsidP="00B63087">
      <w:pPr>
        <w:jc w:val="center"/>
        <w:rPr>
          <w:rFonts w:asciiTheme="majorHAnsi" w:hAnsiTheme="majorHAnsi"/>
          <w:sz w:val="24"/>
        </w:rPr>
      </w:pPr>
      <w:r w:rsidRPr="00B63087">
        <w:rPr>
          <w:rFonts w:asciiTheme="majorHAnsi" w:hAnsiTheme="majorHAnsi"/>
          <w:sz w:val="24"/>
        </w:rPr>
        <w:t>rizika jsou vyhledána a vyhodnocena ve smyslu § 102 zákona č. 262/2006 Sb., zákoník práce v platném znění a slouží pro naplnění §101, odst. 3, citovaného zákona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0"/>
        <w:gridCol w:w="1886"/>
        <w:gridCol w:w="5348"/>
        <w:gridCol w:w="6124"/>
      </w:tblGrid>
      <w:tr w:rsidR="00B63087" w:rsidRPr="00B63087" w:rsidTr="00830818">
        <w:trPr>
          <w:trHeight w:val="255"/>
        </w:trPr>
        <w:tc>
          <w:tcPr>
            <w:tcW w:w="2746" w:type="dxa"/>
            <w:gridSpan w:val="2"/>
            <w:noWrap/>
            <w:hideMark/>
          </w:tcPr>
          <w:p w:rsidR="00B63087" w:rsidRPr="00B63087" w:rsidRDefault="00B63087" w:rsidP="00B6308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Pr="00B63087">
              <w:rPr>
                <w:rFonts w:asciiTheme="majorHAnsi" w:hAnsiTheme="majorHAnsi"/>
                <w:sz w:val="24"/>
                <w:szCs w:val="24"/>
              </w:rPr>
              <w:t>odnocen</w:t>
            </w:r>
            <w:r>
              <w:rPr>
                <w:rFonts w:asciiTheme="majorHAnsi" w:hAnsiTheme="majorHAnsi"/>
                <w:sz w:val="24"/>
                <w:szCs w:val="24"/>
              </w:rPr>
              <w:t>á činnost:</w:t>
            </w:r>
          </w:p>
        </w:tc>
        <w:tc>
          <w:tcPr>
            <w:tcW w:w="11474" w:type="dxa"/>
            <w:gridSpan w:val="2"/>
            <w:noWrap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rizika možného ohrožení zaměstnanců úklidové firmy</w:t>
            </w:r>
          </w:p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</w:tr>
      <w:tr w:rsidR="00B63087" w:rsidRPr="00B63087" w:rsidTr="00830818">
        <w:trPr>
          <w:trHeight w:val="520"/>
        </w:trPr>
        <w:tc>
          <w:tcPr>
            <w:tcW w:w="14220" w:type="dxa"/>
            <w:gridSpan w:val="4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63087" w:rsidRPr="00B63087" w:rsidTr="00830818">
        <w:trPr>
          <w:trHeight w:val="255"/>
        </w:trPr>
        <w:tc>
          <w:tcPr>
            <w:tcW w:w="14220" w:type="dxa"/>
            <w:gridSpan w:val="4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VYHLEDÁNÍ RIZIK</w:t>
            </w:r>
          </w:p>
        </w:tc>
      </w:tr>
      <w:tr w:rsidR="00B63087" w:rsidRPr="00B63087" w:rsidTr="00830818">
        <w:trPr>
          <w:trHeight w:val="611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Číslo rizika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sz w:val="24"/>
                <w:szCs w:val="24"/>
              </w:rPr>
              <w:t>Typ rizika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sz w:val="24"/>
                <w:szCs w:val="24"/>
              </w:rPr>
              <w:t>Riziková místa</w:t>
            </w:r>
          </w:p>
        </w:tc>
        <w:tc>
          <w:tcPr>
            <w:tcW w:w="6125" w:type="dxa"/>
            <w:hideMark/>
          </w:tcPr>
          <w:p w:rsidR="00B63087" w:rsidRPr="00B63087" w:rsidRDefault="00B63087" w:rsidP="00B630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Co se může stát</w:t>
            </w:r>
            <w:r w:rsidRPr="00B63087">
              <w:rPr>
                <w:rFonts w:asciiTheme="majorHAnsi" w:hAnsiTheme="majorHAnsi"/>
                <w:b/>
                <w:sz w:val="24"/>
                <w:szCs w:val="24"/>
              </w:rPr>
              <w:t xml:space="preserve"> (co může být zasaženo, jaké mohou být následky)</w:t>
            </w:r>
          </w:p>
        </w:tc>
      </w:tr>
      <w:tr w:rsidR="00B63087" w:rsidRPr="00B63087" w:rsidTr="00830818">
        <w:trPr>
          <w:trHeight w:val="195"/>
        </w:trPr>
        <w:tc>
          <w:tcPr>
            <w:tcW w:w="14220" w:type="dxa"/>
            <w:gridSpan w:val="4"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63087" w:rsidRPr="00B63087" w:rsidTr="00830818">
        <w:trPr>
          <w:trHeight w:val="87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B1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biologické riziko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úklidu na toaletách a případný kontakt s biologickým materiálem ponechaným či zapadlým v ordinacích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vzniku ran a zanesení nečistot či částí biologického materiálu může dojít k vzniku zejména hepatitidy a jiných infekčních nemocí se vznikem pracovní neschopnosti</w:t>
            </w:r>
          </w:p>
        </w:tc>
      </w:tr>
      <w:tr w:rsidR="00B63087" w:rsidRPr="00B63087" w:rsidTr="00830818">
        <w:trPr>
          <w:trHeight w:val="61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E1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zasažení el. proudem přímým dotykem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dotyku s živými částmi elektrické instalace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vzniku smrtelnému úrazu</w:t>
            </w:r>
          </w:p>
        </w:tc>
      </w:tr>
      <w:tr w:rsidR="00B63087" w:rsidRPr="00B63087" w:rsidTr="00830818">
        <w:trPr>
          <w:trHeight w:val="61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ChL1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chemické látky - nebezpečné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dezinfekční prostředky, používané pro dezinfekci zdravotnických prostředků a pomůcek na všech odděleních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vzniku i trvalého poškození pokožky zasažených částí těla</w:t>
            </w:r>
          </w:p>
        </w:tc>
      </w:tr>
      <w:tr w:rsidR="00B63087" w:rsidRPr="00B63087" w:rsidTr="00830818">
        <w:trPr>
          <w:trHeight w:val="57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M02.1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řezné rány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rozbité části skla, které by mohly být při úklidu nalezeny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a při doteku by mohlo dojít k zanesení infekce i přes používání rukavic a vzniku pracovní neschopnosti</w:t>
            </w:r>
          </w:p>
        </w:tc>
      </w:tr>
      <w:tr w:rsidR="00B63087" w:rsidRPr="00B63087" w:rsidTr="00830818">
        <w:trPr>
          <w:trHeight w:val="58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lastRenderedPageBreak/>
              <w:t>M04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bodnutí-píchnutí</w:t>
            </w:r>
            <w:proofErr w:type="spellEnd"/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 xml:space="preserve">neuklizené jehly, části </w:t>
            </w:r>
            <w:proofErr w:type="spellStart"/>
            <w:r w:rsidRPr="00B63087">
              <w:rPr>
                <w:rFonts w:asciiTheme="majorHAnsi" w:hAnsiTheme="majorHAnsi"/>
                <w:sz w:val="24"/>
                <w:szCs w:val="24"/>
              </w:rPr>
              <w:t>robitého</w:t>
            </w:r>
            <w:proofErr w:type="spellEnd"/>
            <w:r w:rsidRPr="00B63087">
              <w:rPr>
                <w:rFonts w:asciiTheme="majorHAnsi" w:hAnsiTheme="majorHAnsi"/>
                <w:sz w:val="24"/>
                <w:szCs w:val="24"/>
              </w:rPr>
              <w:t xml:space="preserve"> skla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zanesení infekce i přes používání rukavic a vzniku pracovní neschopnosti</w:t>
            </w:r>
          </w:p>
        </w:tc>
      </w:tr>
      <w:tr w:rsidR="00B63087" w:rsidRPr="00B63087" w:rsidTr="00830818">
        <w:trPr>
          <w:trHeight w:val="58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M05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odření-poškrábání</w:t>
            </w:r>
            <w:proofErr w:type="spellEnd"/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zúžené prostory vyšetřoven. evidencí apod. o hrany stolů, skříní, kartoték apod.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v tomto případě by mohlo dojít k vzniku uvedeného poranění se vznikem pracovní neschopnosti</w:t>
            </w:r>
          </w:p>
        </w:tc>
      </w:tr>
      <w:tr w:rsidR="00B63087" w:rsidRPr="00B63087" w:rsidTr="00830818">
        <w:trPr>
          <w:trHeight w:val="57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M06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pád osob z výšky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 xml:space="preserve">u </w:t>
            </w:r>
            <w:proofErr w:type="spellStart"/>
            <w:r w:rsidRPr="00B63087">
              <w:rPr>
                <w:rFonts w:asciiTheme="majorHAnsi" w:hAnsiTheme="majorHAnsi"/>
                <w:sz w:val="24"/>
                <w:szCs w:val="24"/>
              </w:rPr>
              <w:t>výthů</w:t>
            </w:r>
            <w:proofErr w:type="spellEnd"/>
            <w:r w:rsidRPr="00B63087">
              <w:rPr>
                <w:rFonts w:asciiTheme="majorHAnsi" w:hAnsiTheme="majorHAnsi"/>
                <w:sz w:val="24"/>
                <w:szCs w:val="24"/>
              </w:rPr>
              <w:t>, v případě poškození ochranných zařízení šachtových výtahových dveří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by mohlo dojít k pádu do šachty výtahu a vzniku smrtelnému úrazu</w:t>
            </w:r>
          </w:p>
        </w:tc>
      </w:tr>
      <w:tr w:rsidR="00B63087" w:rsidRPr="00B63087" w:rsidTr="00830818">
        <w:trPr>
          <w:trHeight w:val="36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M07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naražení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ponechané otevřené dvířka skříní a stolů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mohlo by dojít k uvedenému zranění a vzniku pracovní neschopnosti</w:t>
            </w:r>
          </w:p>
        </w:tc>
      </w:tr>
      <w:tr w:rsidR="00B63087" w:rsidRPr="00B63087" w:rsidTr="00830818">
        <w:trPr>
          <w:trHeight w:val="64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M08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pád břemen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utírání prachu a přemisťování břemen a materiálu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zasažení zejména prstů dolních končetin a vzniku pracovní neschopnosti</w:t>
            </w:r>
          </w:p>
        </w:tc>
      </w:tr>
      <w:tr w:rsidR="00B63087" w:rsidRPr="00B63087" w:rsidTr="00830818">
        <w:trPr>
          <w:trHeight w:val="93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M09.2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</w:rPr>
              <w:t>zakopnutí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při chůzi po schodištích na posledních schodišťových stupních na schodišťových ramenech, protože tento uvedený schod je většinou vyšší než schody ostatní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 xml:space="preserve">mohlo by dojít k poranění prstů dolních končetin a </w:t>
            </w:r>
            <w:proofErr w:type="spellStart"/>
            <w:r w:rsidRPr="00B63087">
              <w:rPr>
                <w:rFonts w:asciiTheme="majorHAnsi" w:hAnsiTheme="majorHAnsi"/>
                <w:sz w:val="24"/>
              </w:rPr>
              <w:t>vz</w:t>
            </w:r>
            <w:proofErr w:type="spellEnd"/>
            <w:r w:rsidRPr="00B63087">
              <w:rPr>
                <w:rFonts w:asciiTheme="majorHAnsi" w:hAnsiTheme="majorHAnsi"/>
                <w:sz w:val="24"/>
              </w:rPr>
              <w:t xml:space="preserve"> niku pracovní neschopnosti</w:t>
            </w:r>
          </w:p>
        </w:tc>
      </w:tr>
      <w:tr w:rsidR="00B63087" w:rsidRPr="00B63087" w:rsidTr="00830818">
        <w:trPr>
          <w:trHeight w:val="64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P1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</w:rPr>
              <w:t>psychické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 xml:space="preserve">při uváznutí ve výtahu v případech kdy uvězněné osoby trpí </w:t>
            </w:r>
            <w:proofErr w:type="spellStart"/>
            <w:r w:rsidRPr="00B63087">
              <w:rPr>
                <w:rFonts w:asciiTheme="majorHAnsi" w:hAnsiTheme="majorHAnsi"/>
                <w:sz w:val="24"/>
              </w:rPr>
              <w:t>klastrofóbií</w:t>
            </w:r>
            <w:proofErr w:type="spellEnd"/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může dojít k panickým stavům, které mohou mít za následek vznik neočekávaného chování uvězněné osoby.</w:t>
            </w:r>
          </w:p>
        </w:tc>
      </w:tr>
    </w:tbl>
    <w:p w:rsidR="00B63087" w:rsidRDefault="00B63087"/>
    <w:sectPr w:rsidR="00B63087" w:rsidSect="00C93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E3" w:rsidRDefault="005432E3" w:rsidP="00282378">
      <w:pPr>
        <w:spacing w:after="0" w:line="240" w:lineRule="auto"/>
      </w:pPr>
      <w:r>
        <w:separator/>
      </w:r>
    </w:p>
  </w:endnote>
  <w:endnote w:type="continuationSeparator" w:id="0">
    <w:p w:rsidR="005432E3" w:rsidRDefault="005432E3" w:rsidP="002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8" w:rsidRDefault="002823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8" w:rsidRDefault="002823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8" w:rsidRDefault="002823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E3" w:rsidRDefault="005432E3" w:rsidP="00282378">
      <w:pPr>
        <w:spacing w:after="0" w:line="240" w:lineRule="auto"/>
      </w:pPr>
      <w:r>
        <w:separator/>
      </w:r>
    </w:p>
  </w:footnote>
  <w:footnote w:type="continuationSeparator" w:id="0">
    <w:p w:rsidR="005432E3" w:rsidRDefault="005432E3" w:rsidP="002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8" w:rsidRDefault="00282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8" w:rsidRDefault="002823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78" w:rsidRDefault="002823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87"/>
    <w:rsid w:val="00282378"/>
    <w:rsid w:val="005432E3"/>
    <w:rsid w:val="00910D3D"/>
    <w:rsid w:val="00980DC8"/>
    <w:rsid w:val="00B63087"/>
    <w:rsid w:val="00C93966"/>
    <w:rsid w:val="00E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378"/>
  </w:style>
  <w:style w:type="paragraph" w:styleId="Zpat">
    <w:name w:val="footer"/>
    <w:basedOn w:val="Normln"/>
    <w:link w:val="ZpatChar"/>
    <w:uiPriority w:val="99"/>
    <w:unhideWhenUsed/>
    <w:rsid w:val="0028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378"/>
  </w:style>
  <w:style w:type="paragraph" w:styleId="Zpat">
    <w:name w:val="footer"/>
    <w:basedOn w:val="Normln"/>
    <w:link w:val="ZpatChar"/>
    <w:uiPriority w:val="99"/>
    <w:unhideWhenUsed/>
    <w:rsid w:val="0028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2019-10-14T11:44:00Z</dcterms:created>
  <dcterms:modified xsi:type="dcterms:W3CDTF">2019-10-14T11:44:00Z</dcterms:modified>
</cp:coreProperties>
</file>