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E9F3F" w14:textId="77777777" w:rsidR="00877B25" w:rsidRDefault="00877B25" w:rsidP="001B7352">
      <w:pPr>
        <w:pStyle w:val="Nzev"/>
        <w:spacing w:before="240"/>
        <w:rPr>
          <w:rFonts w:asciiTheme="minorHAnsi" w:hAnsiTheme="minorHAnsi"/>
          <w:i w:val="0"/>
          <w:szCs w:val="28"/>
          <w:u w:val="single"/>
          <w:shd w:val="clear" w:color="auto" w:fill="FFFFFF"/>
        </w:rPr>
      </w:pPr>
      <w:r>
        <w:rPr>
          <w:rFonts w:asciiTheme="minorHAnsi" w:hAnsiTheme="minorHAnsi"/>
          <w:i w:val="0"/>
          <w:szCs w:val="28"/>
          <w:u w:val="single"/>
          <w:shd w:val="clear" w:color="auto" w:fill="FFFFFF"/>
        </w:rPr>
        <w:t xml:space="preserve">Dodatek č. 1 </w:t>
      </w:r>
    </w:p>
    <w:p w14:paraId="738E1433" w14:textId="77777777" w:rsidR="00877B25" w:rsidRDefault="00877B25" w:rsidP="001B7352">
      <w:pPr>
        <w:pStyle w:val="Nzev"/>
        <w:spacing w:before="240"/>
        <w:rPr>
          <w:rFonts w:asciiTheme="minorHAnsi" w:hAnsiTheme="minorHAnsi"/>
          <w:i w:val="0"/>
          <w:szCs w:val="28"/>
          <w:u w:val="single"/>
          <w:shd w:val="clear" w:color="auto" w:fill="FFFFFF"/>
        </w:rPr>
      </w:pPr>
      <w:r>
        <w:rPr>
          <w:rFonts w:asciiTheme="minorHAnsi" w:hAnsiTheme="minorHAnsi"/>
          <w:i w:val="0"/>
          <w:szCs w:val="28"/>
          <w:u w:val="single"/>
          <w:shd w:val="clear" w:color="auto" w:fill="FFFFFF"/>
        </w:rPr>
        <w:t xml:space="preserve">ke </w:t>
      </w:r>
    </w:p>
    <w:p w14:paraId="52FF8E9A" w14:textId="655674A2" w:rsidR="00445836" w:rsidRPr="001B7352" w:rsidRDefault="00877B25" w:rsidP="001B7352">
      <w:pPr>
        <w:pStyle w:val="Nzev"/>
        <w:spacing w:before="240"/>
        <w:rPr>
          <w:rFonts w:asciiTheme="minorHAnsi" w:hAnsiTheme="minorHAnsi"/>
          <w:i w:val="0"/>
          <w:szCs w:val="28"/>
          <w:u w:val="single"/>
          <w:shd w:val="clear" w:color="auto" w:fill="FFFFFF"/>
        </w:rPr>
      </w:pPr>
      <w:r>
        <w:rPr>
          <w:rFonts w:asciiTheme="minorHAnsi" w:hAnsiTheme="minorHAnsi"/>
          <w:i w:val="0"/>
          <w:szCs w:val="28"/>
          <w:u w:val="single"/>
          <w:shd w:val="clear" w:color="auto" w:fill="FFFFFF"/>
        </w:rPr>
        <w:t xml:space="preserve">kupní smlouvě </w:t>
      </w:r>
      <w:r w:rsidR="00D26AC8">
        <w:rPr>
          <w:rFonts w:asciiTheme="minorHAnsi" w:hAnsiTheme="minorHAnsi"/>
          <w:i w:val="0"/>
          <w:szCs w:val="28"/>
          <w:u w:val="single"/>
          <w:shd w:val="clear" w:color="auto" w:fill="FFFFFF"/>
        </w:rPr>
        <w:t xml:space="preserve">hmotného majetku – systémů řídících technologických procesů </w:t>
      </w:r>
      <w:r>
        <w:rPr>
          <w:rFonts w:asciiTheme="minorHAnsi" w:hAnsiTheme="minorHAnsi"/>
          <w:i w:val="0"/>
          <w:szCs w:val="28"/>
          <w:u w:val="single"/>
          <w:shd w:val="clear" w:color="auto" w:fill="FFFFFF"/>
        </w:rPr>
        <w:t>č. 2019</w:t>
      </w:r>
      <w:r w:rsidR="00D26AC8">
        <w:rPr>
          <w:rFonts w:asciiTheme="minorHAnsi" w:hAnsiTheme="minorHAnsi"/>
          <w:i w:val="0"/>
          <w:szCs w:val="28"/>
          <w:u w:val="single"/>
          <w:shd w:val="clear" w:color="auto" w:fill="FFFFFF"/>
        </w:rPr>
        <w:t>3</w:t>
      </w:r>
      <w:r>
        <w:rPr>
          <w:rFonts w:asciiTheme="minorHAnsi" w:hAnsiTheme="minorHAnsi"/>
          <w:i w:val="0"/>
          <w:szCs w:val="28"/>
          <w:u w:val="single"/>
          <w:shd w:val="clear" w:color="auto" w:fill="FFFFFF"/>
        </w:rPr>
        <w:t>19</w:t>
      </w:r>
      <w:r w:rsidR="00445836" w:rsidRPr="00EA4F49">
        <w:rPr>
          <w:rFonts w:asciiTheme="minorHAnsi" w:hAnsiTheme="minorHAnsi"/>
        </w:rPr>
        <w:br/>
      </w:r>
    </w:p>
    <w:p w14:paraId="2C661EDA" w14:textId="7777777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b/>
          <w:shd w:val="clear" w:color="auto" w:fill="FFFFFF"/>
        </w:rPr>
        <w:t>Prodávající:</w:t>
      </w:r>
      <w:r>
        <w:rPr>
          <w:rFonts w:eastAsia="Arial" w:cstheme="minorHAnsi"/>
          <w:b/>
          <w:shd w:val="clear" w:color="auto" w:fill="FFFFFF"/>
        </w:rPr>
        <w:tab/>
      </w:r>
      <w:r>
        <w:rPr>
          <w:rFonts w:eastAsia="Arial" w:cstheme="minorHAnsi"/>
          <w:b/>
          <w:shd w:val="clear" w:color="auto" w:fill="FFFFFF"/>
        </w:rPr>
        <w:tab/>
      </w:r>
      <w:r w:rsidRPr="00543E75">
        <w:rPr>
          <w:rFonts w:eastAsia="Arial" w:cstheme="minorHAnsi"/>
          <w:b/>
          <w:shd w:val="clear" w:color="auto" w:fill="FFFFFF"/>
        </w:rPr>
        <w:t>Středočeské vodárny, a.s.</w:t>
      </w:r>
    </w:p>
    <w:p w14:paraId="64BA4A37" w14:textId="7777777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IČO:</w:t>
      </w:r>
      <w:r w:rsidRPr="00543E75">
        <w:t xml:space="preserve"> </w:t>
      </w:r>
      <w:r>
        <w:tab/>
      </w:r>
      <w:r>
        <w:tab/>
      </w:r>
      <w:r>
        <w:tab/>
      </w:r>
      <w:r w:rsidRPr="00543E75">
        <w:rPr>
          <w:rFonts w:eastAsia="Arial" w:cstheme="minorHAnsi"/>
          <w:shd w:val="clear" w:color="auto" w:fill="FFFFFF"/>
        </w:rPr>
        <w:t>261</w:t>
      </w:r>
      <w:r>
        <w:rPr>
          <w:rFonts w:eastAsia="Arial" w:cstheme="minorHAnsi"/>
          <w:shd w:val="clear" w:color="auto" w:fill="FFFFFF"/>
        </w:rPr>
        <w:t xml:space="preserve"> </w:t>
      </w:r>
      <w:r w:rsidRPr="00543E75">
        <w:rPr>
          <w:rFonts w:eastAsia="Arial" w:cstheme="minorHAnsi"/>
          <w:shd w:val="clear" w:color="auto" w:fill="FFFFFF"/>
        </w:rPr>
        <w:t>96</w:t>
      </w:r>
      <w:r>
        <w:rPr>
          <w:rFonts w:eastAsia="Arial" w:cstheme="minorHAnsi"/>
          <w:shd w:val="clear" w:color="auto" w:fill="FFFFFF"/>
        </w:rPr>
        <w:t xml:space="preserve"> </w:t>
      </w:r>
      <w:r w:rsidRPr="00543E75">
        <w:rPr>
          <w:rFonts w:eastAsia="Arial" w:cstheme="minorHAnsi"/>
          <w:shd w:val="clear" w:color="auto" w:fill="FFFFFF"/>
        </w:rPr>
        <w:t>620</w:t>
      </w:r>
    </w:p>
    <w:p w14:paraId="59BE0296" w14:textId="35E2ACC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Se sídlem: </w:t>
      </w:r>
      <w:r>
        <w:rPr>
          <w:rFonts w:eastAsia="Arial" w:cstheme="minorHAnsi"/>
          <w:shd w:val="clear" w:color="auto" w:fill="FFFFFF"/>
        </w:rPr>
        <w:tab/>
      </w:r>
      <w:r>
        <w:rPr>
          <w:rFonts w:eastAsia="Arial" w:cstheme="minorHAnsi"/>
          <w:shd w:val="clear" w:color="auto" w:fill="FFFFFF"/>
        </w:rPr>
        <w:tab/>
      </w:r>
      <w:r w:rsidRPr="00543E75">
        <w:rPr>
          <w:rFonts w:eastAsia="Arial" w:cstheme="minorHAnsi"/>
          <w:shd w:val="clear" w:color="auto" w:fill="FFFFFF"/>
        </w:rPr>
        <w:t>Kladno, U Vodojemu 3085, PSČ 272</w:t>
      </w:r>
      <w:r w:rsidR="00FE5523">
        <w:rPr>
          <w:rFonts w:eastAsia="Arial" w:cstheme="minorHAnsi"/>
          <w:shd w:val="clear" w:color="auto" w:fill="FFFFFF"/>
        </w:rPr>
        <w:t xml:space="preserve"> </w:t>
      </w:r>
      <w:r w:rsidRPr="00543E75">
        <w:rPr>
          <w:rFonts w:eastAsia="Arial" w:cstheme="minorHAnsi"/>
          <w:shd w:val="clear" w:color="auto" w:fill="FFFFFF"/>
        </w:rPr>
        <w:t>80</w:t>
      </w:r>
    </w:p>
    <w:p w14:paraId="03EAAF25" w14:textId="77777777" w:rsidR="00B63E09" w:rsidRDefault="005611BE" w:rsidP="00B63E09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Zastoupena:</w:t>
      </w:r>
      <w:r>
        <w:rPr>
          <w:rFonts w:eastAsia="Arial" w:cstheme="minorHAnsi"/>
          <w:shd w:val="clear" w:color="auto" w:fill="FFFFFF"/>
        </w:rPr>
        <w:tab/>
      </w:r>
      <w:r>
        <w:rPr>
          <w:rFonts w:eastAsia="Arial" w:cstheme="minorHAnsi"/>
          <w:shd w:val="clear" w:color="auto" w:fill="FFFFFF"/>
        </w:rPr>
        <w:tab/>
      </w:r>
      <w:r w:rsidR="00B63E09" w:rsidRPr="00B63E09">
        <w:rPr>
          <w:rFonts w:eastAsia="Arial" w:cstheme="minorHAnsi"/>
          <w:shd w:val="clear" w:color="auto" w:fill="FFFFFF"/>
        </w:rPr>
        <w:t xml:space="preserve">Jakubem Hanzlem, na základě zvláštní plné moci </w:t>
      </w:r>
    </w:p>
    <w:p w14:paraId="4405D46D" w14:textId="5D4DDC8E" w:rsidR="005611BE" w:rsidRPr="00397CDA" w:rsidRDefault="005611BE" w:rsidP="00985AC1">
      <w:pPr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Zapsaná v obchodním rejstříku vedeném Městským soudem v Praze, oddíl B, vložka 6699</w:t>
      </w:r>
    </w:p>
    <w:p w14:paraId="2EB32F64" w14:textId="76F03688" w:rsidR="005611BE" w:rsidRPr="00397CDA" w:rsidRDefault="005611BE" w:rsidP="005611BE">
      <w:r w:rsidRPr="00397CDA">
        <w:rPr>
          <w:rFonts w:cstheme="minorHAnsi"/>
          <w:shd w:val="clear" w:color="auto" w:fill="FFFFFF"/>
        </w:rPr>
        <w:t>(dále jen jako „</w:t>
      </w:r>
      <w:r w:rsidRPr="00397CDA">
        <w:rPr>
          <w:rFonts w:cstheme="minorHAnsi"/>
          <w:b/>
          <w:i/>
          <w:shd w:val="clear" w:color="auto" w:fill="FFFFFF"/>
        </w:rPr>
        <w:t>Prodávající</w:t>
      </w:r>
      <w:r w:rsidRPr="00397CDA">
        <w:rPr>
          <w:rFonts w:cstheme="minorHAnsi"/>
          <w:shd w:val="clear" w:color="auto" w:fill="FFFFFF"/>
        </w:rPr>
        <w:t xml:space="preserve">“ </w:t>
      </w:r>
      <w:r w:rsidRPr="00397CDA">
        <w:t>na straně jedné</w:t>
      </w:r>
      <w:r w:rsidR="00FE5523">
        <w:t>)</w:t>
      </w:r>
      <w:r w:rsidRPr="00397CDA">
        <w:t xml:space="preserve"> </w:t>
      </w:r>
    </w:p>
    <w:p w14:paraId="2B2DE858" w14:textId="77777777" w:rsidR="005611BE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9BAE52" w14:textId="77777777" w:rsidR="00532183" w:rsidRPr="00397CDA" w:rsidRDefault="00532183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3749B8" w14:textId="77777777" w:rsidR="005611BE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3313D1D7" w14:textId="77777777" w:rsidR="005611BE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7B68FC" w14:textId="77777777" w:rsidR="00532183" w:rsidRPr="00397CDA" w:rsidRDefault="00532183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A65EF36" w14:textId="77777777" w:rsidR="005611BE" w:rsidRDefault="005611BE" w:rsidP="005611BE">
      <w:pPr>
        <w:spacing w:after="0"/>
        <w:jc w:val="both"/>
        <w:rPr>
          <w:rFonts w:eastAsia="Arial" w:cstheme="minorHAnsi"/>
          <w:b/>
          <w:shd w:val="clear" w:color="auto" w:fill="FFFFFF"/>
        </w:rPr>
      </w:pPr>
      <w:r>
        <w:rPr>
          <w:rFonts w:eastAsia="Arial" w:cstheme="minorHAnsi"/>
          <w:b/>
          <w:shd w:val="clear" w:color="auto" w:fill="FFFFFF"/>
        </w:rPr>
        <w:t>Kupující:</w:t>
      </w:r>
      <w:r>
        <w:rPr>
          <w:rFonts w:eastAsia="Arial" w:cstheme="minorHAnsi"/>
          <w:b/>
          <w:shd w:val="clear" w:color="auto" w:fill="FFFFFF"/>
        </w:rPr>
        <w:tab/>
      </w:r>
      <w:r>
        <w:rPr>
          <w:rFonts w:eastAsia="Arial" w:cstheme="minorHAnsi"/>
          <w:b/>
          <w:shd w:val="clear" w:color="auto" w:fill="FFFFFF"/>
        </w:rPr>
        <w:tab/>
      </w:r>
      <w:r w:rsidRPr="00543E75">
        <w:rPr>
          <w:rFonts w:eastAsia="Arial" w:cstheme="minorHAnsi"/>
          <w:b/>
          <w:shd w:val="clear" w:color="auto" w:fill="FFFFFF"/>
        </w:rPr>
        <w:t>Slavos Slaný, s.r.o.</w:t>
      </w:r>
    </w:p>
    <w:p w14:paraId="5396B6BE" w14:textId="7777777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IČO:</w:t>
      </w:r>
      <w:r w:rsidRPr="00543E75">
        <w:t xml:space="preserve"> </w:t>
      </w:r>
      <w:r>
        <w:tab/>
      </w:r>
      <w:r>
        <w:tab/>
      </w:r>
      <w:r>
        <w:tab/>
      </w:r>
      <w:r w:rsidRPr="00543E75">
        <w:rPr>
          <w:rFonts w:eastAsia="Arial" w:cstheme="minorHAnsi"/>
          <w:shd w:val="clear" w:color="auto" w:fill="FFFFFF"/>
        </w:rPr>
        <w:t>075</w:t>
      </w:r>
      <w:r>
        <w:rPr>
          <w:rFonts w:eastAsia="Arial" w:cstheme="minorHAnsi"/>
          <w:shd w:val="clear" w:color="auto" w:fill="FFFFFF"/>
        </w:rPr>
        <w:t xml:space="preserve"> </w:t>
      </w:r>
      <w:r w:rsidRPr="00543E75">
        <w:rPr>
          <w:rFonts w:eastAsia="Arial" w:cstheme="minorHAnsi"/>
          <w:shd w:val="clear" w:color="auto" w:fill="FFFFFF"/>
        </w:rPr>
        <w:t>06</w:t>
      </w:r>
      <w:r>
        <w:rPr>
          <w:rFonts w:eastAsia="Arial" w:cstheme="minorHAnsi"/>
          <w:shd w:val="clear" w:color="auto" w:fill="FFFFFF"/>
        </w:rPr>
        <w:t xml:space="preserve"> </w:t>
      </w:r>
      <w:r w:rsidRPr="00543E75">
        <w:rPr>
          <w:rFonts w:eastAsia="Arial" w:cstheme="minorHAnsi"/>
          <w:shd w:val="clear" w:color="auto" w:fill="FFFFFF"/>
        </w:rPr>
        <w:t>554</w:t>
      </w:r>
    </w:p>
    <w:p w14:paraId="57ED85D7" w14:textId="7777777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 xml:space="preserve">Se sídlem: </w:t>
      </w:r>
      <w:r>
        <w:rPr>
          <w:rFonts w:eastAsia="Arial" w:cstheme="minorHAnsi"/>
          <w:shd w:val="clear" w:color="auto" w:fill="FFFFFF"/>
        </w:rPr>
        <w:tab/>
      </w:r>
      <w:r>
        <w:rPr>
          <w:rFonts w:eastAsia="Arial" w:cstheme="minorHAnsi"/>
          <w:shd w:val="clear" w:color="auto" w:fill="FFFFFF"/>
        </w:rPr>
        <w:tab/>
      </w:r>
      <w:r w:rsidRPr="00543E75">
        <w:rPr>
          <w:rFonts w:eastAsia="Arial" w:cstheme="minorHAnsi"/>
          <w:shd w:val="clear" w:color="auto" w:fill="FFFFFF"/>
        </w:rPr>
        <w:t>Velvarská 136/1, 274 01 Slaný</w:t>
      </w:r>
    </w:p>
    <w:p w14:paraId="4E347BBF" w14:textId="7FA8AA47" w:rsidR="005611BE" w:rsidRDefault="005611BE" w:rsidP="005611BE">
      <w:pPr>
        <w:spacing w:after="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Zastoupena:</w:t>
      </w:r>
      <w:r>
        <w:rPr>
          <w:rFonts w:eastAsia="Arial" w:cstheme="minorHAnsi"/>
          <w:shd w:val="clear" w:color="auto" w:fill="FFFFFF"/>
        </w:rPr>
        <w:tab/>
      </w:r>
      <w:r>
        <w:rPr>
          <w:rFonts w:eastAsia="Arial" w:cstheme="minorHAnsi"/>
          <w:shd w:val="clear" w:color="auto" w:fill="FFFFFF"/>
        </w:rPr>
        <w:tab/>
      </w:r>
      <w:r w:rsidR="00B63E09" w:rsidRPr="00B63E09">
        <w:rPr>
          <w:rFonts w:eastAsia="Arial" w:cstheme="minorHAnsi"/>
          <w:shd w:val="clear" w:color="auto" w:fill="FFFFFF"/>
        </w:rPr>
        <w:t>Ing. Irenou Vernerovou, jednatelkou</w:t>
      </w:r>
    </w:p>
    <w:p w14:paraId="4E7C24C7" w14:textId="77777777" w:rsidR="005611BE" w:rsidRPr="00397CDA" w:rsidRDefault="005611BE" w:rsidP="005611BE">
      <w:pPr>
        <w:spacing w:after="120"/>
        <w:jc w:val="both"/>
        <w:rPr>
          <w:rFonts w:eastAsia="Arial" w:cstheme="minorHAnsi"/>
          <w:shd w:val="clear" w:color="auto" w:fill="FFFFFF"/>
        </w:rPr>
      </w:pPr>
      <w:r>
        <w:rPr>
          <w:rFonts w:eastAsia="Arial" w:cstheme="minorHAnsi"/>
          <w:shd w:val="clear" w:color="auto" w:fill="FFFFFF"/>
        </w:rPr>
        <w:t>Zapsaná v obchodním rejstříku vedeném Městským soudem v Praze, oddíl C, vložka 302022</w:t>
      </w:r>
    </w:p>
    <w:p w14:paraId="0B9BD0B2" w14:textId="70874561" w:rsidR="005611BE" w:rsidRPr="00FE5523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after="120"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397CDA">
        <w:rPr>
          <w:rFonts w:asciiTheme="minorHAnsi" w:hAnsiTheme="minorHAnsi" w:cstheme="minorHAnsi"/>
          <w:color w:val="auto"/>
          <w:sz w:val="22"/>
          <w:szCs w:val="22"/>
        </w:rPr>
        <w:t>(dále jen jako „</w:t>
      </w:r>
      <w:r w:rsidRPr="00397CDA">
        <w:rPr>
          <w:rFonts w:asciiTheme="minorHAnsi" w:hAnsiTheme="minorHAnsi" w:cstheme="minorHAnsi"/>
          <w:b/>
          <w:i/>
          <w:color w:val="auto"/>
          <w:sz w:val="22"/>
          <w:szCs w:val="22"/>
        </w:rPr>
        <w:t>Kupující</w:t>
      </w:r>
      <w:r w:rsidRPr="00397CDA">
        <w:rPr>
          <w:rFonts w:asciiTheme="minorHAnsi" w:hAnsiTheme="minorHAnsi" w:cstheme="minorHAnsi"/>
          <w:color w:val="auto"/>
          <w:sz w:val="22"/>
          <w:szCs w:val="22"/>
        </w:rPr>
        <w:t xml:space="preserve">“ </w:t>
      </w:r>
      <w:r w:rsidRPr="00FE5523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na straně druhé</w:t>
      </w:r>
      <w:r w:rsidR="00FE5523" w:rsidRPr="00FE5523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)</w:t>
      </w:r>
    </w:p>
    <w:p w14:paraId="355056E0" w14:textId="77777777" w:rsidR="0059790F" w:rsidRDefault="0059790F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A1ED71" w14:textId="32846E3B" w:rsidR="005611BE" w:rsidRPr="00397CDA" w:rsidRDefault="005611BE" w:rsidP="005611BE">
      <w:pPr>
        <w:pStyle w:val="Standardnte"/>
        <w:tabs>
          <w:tab w:val="left" w:pos="28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97CDA">
        <w:rPr>
          <w:rFonts w:asciiTheme="minorHAnsi" w:hAnsiTheme="minorHAnsi" w:cstheme="minorHAnsi"/>
          <w:color w:val="auto"/>
          <w:sz w:val="22"/>
          <w:szCs w:val="22"/>
        </w:rPr>
        <w:t>(Prodávající a Kupující společně jako „</w:t>
      </w:r>
      <w:r w:rsidRPr="00397CDA">
        <w:rPr>
          <w:rFonts w:asciiTheme="minorHAnsi" w:hAnsiTheme="minorHAnsi" w:cstheme="minorHAnsi"/>
          <w:b/>
          <w:i/>
          <w:color w:val="auto"/>
          <w:sz w:val="22"/>
          <w:szCs w:val="22"/>
        </w:rPr>
        <w:t>Smluvní strany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“ </w:t>
      </w:r>
      <w:r w:rsidRPr="00397CDA">
        <w:rPr>
          <w:rFonts w:asciiTheme="minorHAnsi" w:hAnsiTheme="minorHAnsi" w:cstheme="minorHAnsi"/>
          <w:color w:val="auto"/>
          <w:sz w:val="22"/>
          <w:szCs w:val="22"/>
        </w:rPr>
        <w:t>či jednotlivě jako „</w:t>
      </w:r>
      <w:r w:rsidRPr="00397CDA">
        <w:rPr>
          <w:rFonts w:asciiTheme="minorHAnsi" w:hAnsiTheme="minorHAnsi" w:cstheme="minorHAnsi"/>
          <w:b/>
          <w:i/>
          <w:color w:val="auto"/>
          <w:sz w:val="22"/>
          <w:szCs w:val="22"/>
        </w:rPr>
        <w:t>Smluvní strana</w:t>
      </w:r>
      <w:r w:rsidRPr="00397CDA">
        <w:rPr>
          <w:rFonts w:asciiTheme="minorHAnsi" w:hAnsiTheme="minorHAnsi" w:cstheme="minorHAnsi"/>
          <w:color w:val="auto"/>
          <w:sz w:val="22"/>
          <w:szCs w:val="22"/>
        </w:rPr>
        <w:t>“)</w:t>
      </w:r>
    </w:p>
    <w:p w14:paraId="66219728" w14:textId="77777777" w:rsidR="0059790F" w:rsidRDefault="0059790F" w:rsidP="00567205">
      <w:pPr>
        <w:jc w:val="both"/>
      </w:pPr>
    </w:p>
    <w:p w14:paraId="26474CAD" w14:textId="6EE4F6C1" w:rsidR="00804594" w:rsidRPr="00EA4F49" w:rsidRDefault="00567205" w:rsidP="00567205">
      <w:pPr>
        <w:jc w:val="both"/>
      </w:pPr>
      <w:r w:rsidRPr="00EA4F49">
        <w:t>uzavírají níže uvedeného dne, měsíce a roku t</w:t>
      </w:r>
      <w:r w:rsidR="00F764D1">
        <w:t xml:space="preserve">ento dodatek č. 1 ke kupní smlouvě </w:t>
      </w:r>
      <w:r w:rsidR="00D26AC8">
        <w:t>hmotného majetku – systémů řídících technologických procesů č. 2019319</w:t>
      </w:r>
      <w:r w:rsidR="00F764D1">
        <w:t xml:space="preserve"> </w:t>
      </w:r>
      <w:r w:rsidRPr="00EA4F49">
        <w:t xml:space="preserve">(dále jen jako </w:t>
      </w:r>
      <w:r w:rsidRPr="00EA4F49">
        <w:rPr>
          <w:b/>
          <w:i/>
        </w:rPr>
        <w:t>„</w:t>
      </w:r>
      <w:r w:rsidR="00F764D1">
        <w:rPr>
          <w:b/>
          <w:i/>
        </w:rPr>
        <w:t>Dodatek</w:t>
      </w:r>
      <w:r w:rsidRPr="00EA4F49">
        <w:rPr>
          <w:b/>
          <w:i/>
        </w:rPr>
        <w:t>“</w:t>
      </w:r>
      <w:r w:rsidRPr="00EA4F49">
        <w:t>)</w:t>
      </w:r>
      <w:r w:rsidR="003466CE">
        <w:t>.</w:t>
      </w:r>
    </w:p>
    <w:p w14:paraId="18555221" w14:textId="77777777" w:rsidR="003728AF" w:rsidRDefault="003728AF" w:rsidP="005E4C3A">
      <w:pPr>
        <w:pStyle w:val="Bezmezer"/>
        <w:rPr>
          <w:rFonts w:cs="Times New Roman"/>
        </w:rPr>
      </w:pPr>
    </w:p>
    <w:p w14:paraId="31B0B3D2" w14:textId="77777777" w:rsidR="0059790F" w:rsidRPr="00EA4F49" w:rsidRDefault="0059790F" w:rsidP="005E4C3A">
      <w:pPr>
        <w:pStyle w:val="Bezmezer"/>
        <w:rPr>
          <w:rFonts w:cs="Times New Roman"/>
        </w:rPr>
      </w:pPr>
    </w:p>
    <w:p w14:paraId="52375499" w14:textId="2FB55B28" w:rsidR="00F764D1" w:rsidRPr="00F764D1" w:rsidRDefault="00567205" w:rsidP="00F764D1">
      <w:pPr>
        <w:pStyle w:val="Nadpis1"/>
        <w:spacing w:after="0" w:line="240" w:lineRule="auto"/>
        <w:rPr>
          <w:rFonts w:asciiTheme="minorHAnsi" w:hAnsiTheme="minorHAnsi"/>
          <w:sz w:val="22"/>
          <w:szCs w:val="22"/>
          <w:shd w:val="clear" w:color="auto" w:fill="FFFFFF"/>
        </w:rPr>
      </w:pPr>
      <w:r w:rsidRPr="00EA4F49">
        <w:rPr>
          <w:rFonts w:asciiTheme="minorHAnsi" w:hAnsiTheme="minorHAnsi"/>
          <w:sz w:val="22"/>
          <w:szCs w:val="22"/>
          <w:shd w:val="clear" w:color="auto" w:fill="FFFFFF"/>
        </w:rPr>
        <w:t xml:space="preserve">Článek </w:t>
      </w:r>
      <w:r w:rsidR="00D57896" w:rsidRPr="00EA4F49">
        <w:rPr>
          <w:rFonts w:asciiTheme="minorHAnsi" w:hAnsiTheme="minorHAnsi"/>
          <w:sz w:val="22"/>
          <w:szCs w:val="22"/>
          <w:shd w:val="clear" w:color="auto" w:fill="FFFFFF"/>
        </w:rPr>
        <w:t>I.</w:t>
      </w:r>
    </w:p>
    <w:p w14:paraId="5F3A176C" w14:textId="4A6B1583" w:rsidR="00387349" w:rsidRPr="00435845" w:rsidRDefault="00F764D1" w:rsidP="00A40F5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t xml:space="preserve">Smluvní strany prohlašují, že dne </w:t>
      </w:r>
      <w:r w:rsidRPr="0077671B">
        <w:rPr>
          <w:highlight w:val="yellow"/>
        </w:rPr>
        <w:sym w:font="Symbol" w:char="F05B"/>
      </w:r>
      <w:r w:rsidRPr="0077671B">
        <w:rPr>
          <w:highlight w:val="yellow"/>
        </w:rPr>
        <w:sym w:font="Symbol" w:char="F0B7"/>
      </w:r>
      <w:r w:rsidRPr="0077671B">
        <w:rPr>
          <w:highlight w:val="yellow"/>
        </w:rPr>
        <w:sym w:font="Symbol" w:char="F05D"/>
      </w:r>
      <w:r>
        <w:t xml:space="preserve"> uzavřely kupní smlouvu </w:t>
      </w:r>
      <w:r w:rsidR="00D26AC8">
        <w:t>hmotného majetku – systémů řídících technologických procesů č. 2019319</w:t>
      </w:r>
      <w:r>
        <w:t xml:space="preserve"> (dále jen „</w:t>
      </w:r>
      <w:r>
        <w:rPr>
          <w:b/>
        </w:rPr>
        <w:t>Kupní smlouva</w:t>
      </w:r>
      <w:r>
        <w:t xml:space="preserve">“), jejímž předmětem je prodej </w:t>
      </w:r>
      <w:r w:rsidR="00D26AC8" w:rsidRPr="00D26AC8">
        <w:t>hmotn</w:t>
      </w:r>
      <w:r w:rsidR="00D26AC8">
        <w:t xml:space="preserve">ého majetku </w:t>
      </w:r>
      <w:r w:rsidR="00D26AC8" w:rsidRPr="00D26AC8">
        <w:t>– systém</w:t>
      </w:r>
      <w:r w:rsidR="00D26AC8">
        <w:t>ů</w:t>
      </w:r>
      <w:r w:rsidR="00D26AC8" w:rsidRPr="00D26AC8">
        <w:t xml:space="preserve"> řídících technologických procesů, který je ve výlučném vlastnictví Prodávajícího, a který je blíže specifikován v Příloze č. 1 </w:t>
      </w:r>
      <w:r w:rsidR="00D26AC8">
        <w:t>Kupní s</w:t>
      </w:r>
      <w:r w:rsidR="00D26AC8" w:rsidRPr="00D26AC8">
        <w:t>mlouvy – Ocenění č. 3/19 souboru hmotného majetku – systémy řídících technologických procesů ze dne 15. 4. 2019 zpracované Ing. Ivanem Kopeckým</w:t>
      </w:r>
      <w:r w:rsidR="002F62D9">
        <w:t xml:space="preserve"> </w:t>
      </w:r>
      <w:r w:rsidR="005611BE">
        <w:t xml:space="preserve">(dále jen </w:t>
      </w:r>
      <w:r w:rsidR="00A05FE5">
        <w:t>„</w:t>
      </w:r>
      <w:r w:rsidR="005611BE" w:rsidRPr="005611BE">
        <w:rPr>
          <w:b/>
        </w:rPr>
        <w:t xml:space="preserve">Předmět </w:t>
      </w:r>
      <w:r w:rsidR="005611BE">
        <w:rPr>
          <w:b/>
        </w:rPr>
        <w:t>koupě</w:t>
      </w:r>
      <w:r w:rsidR="00A05FE5">
        <w:t>“</w:t>
      </w:r>
      <w:r w:rsidR="005611BE">
        <w:t>).</w:t>
      </w:r>
    </w:p>
    <w:p w14:paraId="76160D9F" w14:textId="232AD631" w:rsidR="00435845" w:rsidRDefault="00435845" w:rsidP="00A40F5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Smluvní strany se Dodatkem dohodly, že Kupující nabývá vlastnické právo k Předmětu koupě </w:t>
      </w:r>
      <w:r w:rsidR="003A7323">
        <w:rPr>
          <w:rFonts w:cs="Times New Roman"/>
        </w:rPr>
        <w:t xml:space="preserve">dnem předání Předmětu koupě Prodávajícím Kupujícímu. </w:t>
      </w:r>
    </w:p>
    <w:p w14:paraId="0925170A" w14:textId="77777777" w:rsidR="00D26AC8" w:rsidRPr="00387349" w:rsidRDefault="00D26AC8" w:rsidP="00D26AC8">
      <w:pPr>
        <w:widowControl w:val="0"/>
        <w:autoSpaceDE w:val="0"/>
        <w:autoSpaceDN w:val="0"/>
        <w:adjustRightInd w:val="0"/>
        <w:spacing w:after="120" w:line="340" w:lineRule="exact"/>
        <w:ind w:left="567"/>
        <w:jc w:val="both"/>
        <w:rPr>
          <w:rFonts w:cs="Times New Roman"/>
        </w:rPr>
      </w:pPr>
    </w:p>
    <w:p w14:paraId="5C39CF9E" w14:textId="77777777" w:rsidR="00046388" w:rsidRPr="00EA4F49" w:rsidRDefault="00046388" w:rsidP="0004638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50" w:before="120" w:afterLines="100" w:after="240"/>
        <w:ind w:left="705"/>
        <w:contextualSpacing w:val="0"/>
        <w:jc w:val="both"/>
        <w:rPr>
          <w:vanish/>
        </w:rPr>
      </w:pPr>
    </w:p>
    <w:p w14:paraId="30DEC94D" w14:textId="77777777" w:rsidR="00046388" w:rsidRPr="00EA4F49" w:rsidRDefault="00046388" w:rsidP="00046388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50" w:before="120" w:afterLines="100" w:after="240"/>
        <w:ind w:left="705"/>
        <w:contextualSpacing w:val="0"/>
        <w:jc w:val="both"/>
        <w:rPr>
          <w:vanish/>
        </w:rPr>
      </w:pPr>
    </w:p>
    <w:p w14:paraId="1B814106" w14:textId="080CC809" w:rsidR="000E31D5" w:rsidRPr="00EA4F49" w:rsidRDefault="006314C3" w:rsidP="00985AC1">
      <w:pPr>
        <w:spacing w:after="0"/>
        <w:contextualSpacing/>
        <w:jc w:val="center"/>
        <w:rPr>
          <w:rFonts w:cs="Times New Roman"/>
          <w:b/>
        </w:rPr>
      </w:pPr>
      <w:r w:rsidRPr="00EA4F49">
        <w:rPr>
          <w:rFonts w:cs="Times New Roman"/>
          <w:b/>
        </w:rPr>
        <w:t xml:space="preserve">Článek </w:t>
      </w:r>
      <w:r w:rsidR="00435845">
        <w:rPr>
          <w:rFonts w:cs="Times New Roman"/>
          <w:b/>
        </w:rPr>
        <w:t>I</w:t>
      </w:r>
      <w:r w:rsidR="00D84CAF">
        <w:rPr>
          <w:rFonts w:cs="Times New Roman"/>
          <w:b/>
        </w:rPr>
        <w:t>I</w:t>
      </w:r>
      <w:r w:rsidR="007B4029" w:rsidRPr="00EA4F49">
        <w:rPr>
          <w:rFonts w:cs="Times New Roman"/>
          <w:b/>
        </w:rPr>
        <w:t xml:space="preserve">. </w:t>
      </w:r>
      <w:bookmarkStart w:id="0" w:name="_GoBack"/>
      <w:bookmarkEnd w:id="0"/>
    </w:p>
    <w:p w14:paraId="683C2115" w14:textId="77777777" w:rsidR="00435845" w:rsidRPr="00435845" w:rsidRDefault="00435845" w:rsidP="00435845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40" w:lineRule="exact"/>
        <w:ind w:left="567"/>
        <w:contextualSpacing w:val="0"/>
        <w:jc w:val="both"/>
        <w:rPr>
          <w:rFonts w:cs="Times New Roman"/>
          <w:vanish/>
        </w:rPr>
      </w:pPr>
    </w:p>
    <w:p w14:paraId="2C74E115" w14:textId="77777777" w:rsidR="00435845" w:rsidRPr="00435845" w:rsidRDefault="00435845" w:rsidP="00435845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40" w:lineRule="exact"/>
        <w:ind w:left="567"/>
        <w:contextualSpacing w:val="0"/>
        <w:jc w:val="both"/>
        <w:rPr>
          <w:rFonts w:cs="Times New Roman"/>
          <w:vanish/>
        </w:rPr>
      </w:pPr>
    </w:p>
    <w:p w14:paraId="32940267" w14:textId="50FC3987" w:rsidR="003A6B63" w:rsidRPr="00286DA1" w:rsidRDefault="00435845" w:rsidP="00435845">
      <w:pPr>
        <w:widowControl w:val="0"/>
        <w:numPr>
          <w:ilvl w:val="1"/>
          <w:numId w:val="12"/>
        </w:numPr>
        <w:tabs>
          <w:tab w:val="clear" w:pos="934"/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Dodatek </w:t>
      </w:r>
      <w:r w:rsidR="00BD2EED" w:rsidRPr="00EA4F49">
        <w:rPr>
          <w:rFonts w:cs="Times New Roman"/>
        </w:rPr>
        <w:t>a právní vztahy z</w:t>
      </w:r>
      <w:r>
        <w:rPr>
          <w:rFonts w:cs="Times New Roman"/>
        </w:rPr>
        <w:t> </w:t>
      </w:r>
      <w:r w:rsidR="00BD2EED" w:rsidRPr="00EA4F49">
        <w:rPr>
          <w:rFonts w:cs="Times New Roman"/>
        </w:rPr>
        <w:t>n</w:t>
      </w:r>
      <w:r>
        <w:rPr>
          <w:rFonts w:cs="Times New Roman"/>
        </w:rPr>
        <w:t xml:space="preserve">ěho </w:t>
      </w:r>
      <w:r w:rsidR="00BD2EED" w:rsidRPr="00EA4F49">
        <w:rPr>
          <w:rFonts w:cs="Times New Roman"/>
        </w:rPr>
        <w:t>vyplývající se řídí právním řádem České republiky</w:t>
      </w:r>
      <w:r w:rsidR="0080634A">
        <w:rPr>
          <w:rFonts w:cs="Times New Roman"/>
        </w:rPr>
        <w:t>.</w:t>
      </w:r>
      <w:r w:rsidR="00BD2EED" w:rsidRPr="00EA4F49">
        <w:rPr>
          <w:rFonts w:cs="Times New Roman"/>
        </w:rPr>
        <w:t xml:space="preserve"> </w:t>
      </w:r>
    </w:p>
    <w:p w14:paraId="09146E47" w14:textId="550AA6A5" w:rsidR="00DD1A56" w:rsidRPr="00286DA1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 w:rsidRPr="0080634A">
        <w:rPr>
          <w:rFonts w:cs="Times New Roman"/>
        </w:rPr>
        <w:t>Jakékoli vzájemné spory vzniklé v souvislosti s</w:t>
      </w:r>
      <w:r w:rsidR="00435845">
        <w:rPr>
          <w:rFonts w:cs="Times New Roman"/>
        </w:rPr>
        <w:t xml:space="preserve"> Dodatkem </w:t>
      </w:r>
      <w:r w:rsidRPr="0080634A">
        <w:rPr>
          <w:rFonts w:cs="Times New Roman"/>
        </w:rPr>
        <w:t>se</w:t>
      </w:r>
      <w:r>
        <w:rPr>
          <w:rFonts w:cs="Times New Roman"/>
        </w:rPr>
        <w:t xml:space="preserve"> </w:t>
      </w:r>
      <w:r w:rsidR="001A0791">
        <w:rPr>
          <w:rFonts w:cs="Times New Roman"/>
        </w:rPr>
        <w:t>S</w:t>
      </w:r>
      <w:r>
        <w:rPr>
          <w:rFonts w:cs="Times New Roman"/>
        </w:rPr>
        <w:t>mluvní</w:t>
      </w:r>
      <w:r w:rsidRPr="0080634A">
        <w:rPr>
          <w:rFonts w:cs="Times New Roman"/>
        </w:rPr>
        <w:t xml:space="preserve"> strany přednostně pokusí řešit smírnou cestou. Nedoberou-li se</w:t>
      </w:r>
      <w:r>
        <w:rPr>
          <w:rFonts w:cs="Times New Roman"/>
        </w:rPr>
        <w:t xml:space="preserve"> smluvní</w:t>
      </w:r>
      <w:r w:rsidRPr="0080634A">
        <w:rPr>
          <w:rFonts w:cs="Times New Roman"/>
        </w:rPr>
        <w:t xml:space="preserve"> strany smírného řešení, budou všechny spory vznikající z</w:t>
      </w:r>
      <w:r w:rsidR="00435845">
        <w:rPr>
          <w:rFonts w:cs="Times New Roman"/>
        </w:rPr>
        <w:t xml:space="preserve"> Dodatku </w:t>
      </w:r>
      <w:r w:rsidRPr="0080634A">
        <w:rPr>
          <w:rFonts w:cs="Times New Roman"/>
        </w:rPr>
        <w:t>a v souvislosti s ní</w:t>
      </w:r>
      <w:r w:rsidR="00435845">
        <w:rPr>
          <w:rFonts w:cs="Times New Roman"/>
        </w:rPr>
        <w:t>m</w:t>
      </w:r>
      <w:r w:rsidRPr="0080634A">
        <w:rPr>
          <w:rFonts w:cs="Times New Roman"/>
        </w:rPr>
        <w:t xml:space="preserve"> ro</w:t>
      </w:r>
      <w:r>
        <w:rPr>
          <w:rFonts w:cs="Times New Roman"/>
        </w:rPr>
        <w:t>zhodovány s konečnou platností</w:t>
      </w:r>
      <w:r w:rsidRPr="00EA4F49">
        <w:rPr>
          <w:rFonts w:cs="Times New Roman"/>
        </w:rPr>
        <w:t xml:space="preserve"> </w:t>
      </w:r>
      <w:r w:rsidR="007C6A04">
        <w:rPr>
          <w:rFonts w:cs="Times New Roman"/>
        </w:rPr>
        <w:t>místně a věcně příslušným soudem České republiky</w:t>
      </w:r>
      <w:r w:rsidRPr="00EA4F49">
        <w:rPr>
          <w:rFonts w:cs="Times New Roman"/>
        </w:rPr>
        <w:t>.</w:t>
      </w:r>
    </w:p>
    <w:p w14:paraId="329F3786" w14:textId="03FF7D4A" w:rsidR="003A6B63" w:rsidRPr="00286DA1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 w:rsidRPr="00EA4F49">
        <w:rPr>
          <w:rFonts w:cs="Times New Roman"/>
        </w:rPr>
        <w:t xml:space="preserve">Jednotlivé články </w:t>
      </w:r>
      <w:r w:rsidR="00435845">
        <w:rPr>
          <w:rFonts w:cs="Times New Roman"/>
        </w:rPr>
        <w:t xml:space="preserve">Dodatku </w:t>
      </w:r>
      <w:r w:rsidRPr="00EA4F49">
        <w:rPr>
          <w:rFonts w:cs="Times New Roman"/>
        </w:rPr>
        <w:t xml:space="preserve">mohou být doplňovány, měněny nebo rušeny písemnými, vzájemně dohodnutými, číslovanými dodatky podepsanými </w:t>
      </w:r>
      <w:r w:rsidR="001A0791">
        <w:rPr>
          <w:rFonts w:cs="Times New Roman"/>
        </w:rPr>
        <w:t>S</w:t>
      </w:r>
      <w:r w:rsidR="00C044CB">
        <w:rPr>
          <w:rFonts w:cs="Times New Roman"/>
        </w:rPr>
        <w:t>mluvními stranami.</w:t>
      </w:r>
    </w:p>
    <w:p w14:paraId="2A2E45D7" w14:textId="1D671CC0" w:rsidR="003A6B63" w:rsidRPr="00286DA1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 w:rsidRPr="00EA4F49">
        <w:rPr>
          <w:rFonts w:cs="Times New Roman"/>
        </w:rPr>
        <w:t xml:space="preserve">Pokud by se z jakéhokoli důvodu jakékoli ujednání </w:t>
      </w:r>
      <w:r w:rsidR="00435845">
        <w:rPr>
          <w:rFonts w:cs="Times New Roman"/>
        </w:rPr>
        <w:t xml:space="preserve">Dodatku </w:t>
      </w:r>
      <w:r w:rsidRPr="00EA4F49">
        <w:rPr>
          <w:rFonts w:cs="Times New Roman"/>
        </w:rPr>
        <w:t xml:space="preserve">stalo neplatným nebo nevymahatelným, neplatnost nebo nevymahatelnost takového ujednání nebude mít vliv na platnost a účinnost zbývajících ujednání, pokud z povahy tohoto ujednání nebo z jeho obsahu nevyplývá, že neplatné nebo nevymahatelné ujednání nelze oddělit od ostatního obsahu </w:t>
      </w:r>
      <w:r w:rsidR="00435845">
        <w:rPr>
          <w:rFonts w:cs="Times New Roman"/>
        </w:rPr>
        <w:t>Dodatku</w:t>
      </w:r>
      <w:r w:rsidRPr="00EA4F49">
        <w:rPr>
          <w:rFonts w:cs="Times New Roman"/>
        </w:rPr>
        <w:t xml:space="preserve">. Pokud se jakékoli ujednání </w:t>
      </w:r>
      <w:r w:rsidR="00435845">
        <w:rPr>
          <w:rFonts w:cs="Times New Roman"/>
        </w:rPr>
        <w:t xml:space="preserve">Dodatku </w:t>
      </w:r>
      <w:r w:rsidRPr="00EA4F49">
        <w:rPr>
          <w:rFonts w:cs="Times New Roman"/>
        </w:rPr>
        <w:t xml:space="preserve">stane neplatným nebo nevymahatelným, zahájí </w:t>
      </w:r>
      <w:r w:rsidR="001A0791">
        <w:rPr>
          <w:rFonts w:cs="Times New Roman"/>
        </w:rPr>
        <w:t>S</w:t>
      </w:r>
      <w:r w:rsidRPr="00EA4F49">
        <w:rPr>
          <w:rFonts w:cs="Times New Roman"/>
        </w:rPr>
        <w:t xml:space="preserve">mluvní strany jednání za účelem nové úpravy vzájemných vztahů tak, aby byl zachován původní záměr </w:t>
      </w:r>
      <w:r w:rsidR="00435845">
        <w:rPr>
          <w:rFonts w:cs="Times New Roman"/>
        </w:rPr>
        <w:t>Dodatku</w:t>
      </w:r>
      <w:r w:rsidRPr="00EA4F49">
        <w:rPr>
          <w:rFonts w:cs="Times New Roman"/>
        </w:rPr>
        <w:t>.</w:t>
      </w:r>
    </w:p>
    <w:p w14:paraId="692E1FB1" w14:textId="295F1F73" w:rsidR="003A6B63" w:rsidRPr="00286DA1" w:rsidRDefault="003A6B63" w:rsidP="00286DA1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rPr>
          <w:rFonts w:cs="Times New Roman"/>
        </w:rPr>
        <w:t>Práva a povinnosti vyplývající z</w:t>
      </w:r>
      <w:r w:rsidR="00435845">
        <w:rPr>
          <w:rFonts w:cs="Times New Roman"/>
        </w:rPr>
        <w:t> Dodatku n</w:t>
      </w:r>
      <w:r>
        <w:rPr>
          <w:rFonts w:cs="Times New Roman"/>
        </w:rPr>
        <w:t xml:space="preserve">esmí být ani jako celek, ani jako část postoupeny nebo jinak převedeny žádnou </w:t>
      </w:r>
      <w:r w:rsidR="001A0791">
        <w:rPr>
          <w:rFonts w:cs="Times New Roman"/>
        </w:rPr>
        <w:t>S</w:t>
      </w:r>
      <w:r>
        <w:rPr>
          <w:rFonts w:cs="Times New Roman"/>
        </w:rPr>
        <w:t xml:space="preserve">mluvní stranou bez předchozího písemného souhlasu druhé </w:t>
      </w:r>
      <w:r w:rsidR="0059790F">
        <w:rPr>
          <w:rFonts w:cs="Times New Roman"/>
        </w:rPr>
        <w:t>S</w:t>
      </w:r>
      <w:r>
        <w:rPr>
          <w:rFonts w:cs="Times New Roman"/>
        </w:rPr>
        <w:t>mluvní strany.</w:t>
      </w:r>
    </w:p>
    <w:p w14:paraId="6A016ED8" w14:textId="0D4EB4D9" w:rsidR="007C6A85" w:rsidRDefault="00435845" w:rsidP="007C6A85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rPr>
          <w:rFonts w:cs="Times New Roman"/>
        </w:rPr>
        <w:t xml:space="preserve">Dodatek </w:t>
      </w:r>
      <w:r w:rsidR="003A6B63" w:rsidRPr="00EA4F49">
        <w:rPr>
          <w:rFonts w:cs="Times New Roman"/>
        </w:rPr>
        <w:t xml:space="preserve">je vyhotoven ve dvou stejnopisech, z nichž každý má platnost originálu. Každá </w:t>
      </w:r>
      <w:r w:rsidR="001A0791">
        <w:rPr>
          <w:rFonts w:cs="Times New Roman"/>
        </w:rPr>
        <w:t>S</w:t>
      </w:r>
      <w:r w:rsidR="003A6B63" w:rsidRPr="00EA4F49">
        <w:rPr>
          <w:rFonts w:cs="Times New Roman"/>
        </w:rPr>
        <w:t>mluvní strana obdrží po jednom stejnopisu.</w:t>
      </w:r>
    </w:p>
    <w:p w14:paraId="33B671DD" w14:textId="6C12561A" w:rsidR="003A6B63" w:rsidRPr="007C6A85" w:rsidRDefault="00435845" w:rsidP="007C6A85">
      <w:pPr>
        <w:widowControl w:val="0"/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20" w:line="340" w:lineRule="exact"/>
        <w:ind w:left="567" w:hanging="567"/>
        <w:jc w:val="both"/>
        <w:rPr>
          <w:rFonts w:cs="Times New Roman"/>
        </w:rPr>
      </w:pPr>
      <w:r>
        <w:rPr>
          <w:rFonts w:cs="Times New Roman"/>
          <w:b/>
        </w:rPr>
        <w:t xml:space="preserve">Dodatek </w:t>
      </w:r>
      <w:r w:rsidR="003A6B63" w:rsidRPr="007C6A85">
        <w:rPr>
          <w:rFonts w:cs="Times New Roman"/>
          <w:b/>
        </w:rPr>
        <w:t xml:space="preserve">nabývá platnosti </w:t>
      </w:r>
      <w:r w:rsidR="007C6A85" w:rsidRPr="007C6A85">
        <w:rPr>
          <w:rFonts w:cs="Times New Roman"/>
          <w:b/>
        </w:rPr>
        <w:t xml:space="preserve">dnem jejího podpisu oprávněnými zástupci Smluvních stran </w:t>
      </w:r>
      <w:r w:rsidR="009D6FD0" w:rsidRPr="007C6A85">
        <w:rPr>
          <w:rFonts w:cs="Times New Roman"/>
          <w:b/>
        </w:rPr>
        <w:t xml:space="preserve">a účinnosti </w:t>
      </w:r>
      <w:r w:rsidR="007C6A85" w:rsidRPr="007C6A85">
        <w:rPr>
          <w:rFonts w:cs="Times New Roman"/>
          <w:b/>
        </w:rPr>
        <w:t xml:space="preserve">dnem jejího zveřejnění v registru smluv dle zákona č. 340/2015 Sb. Zveřejnění v registru smluv zajistí </w:t>
      </w:r>
      <w:r w:rsidR="007C6A85">
        <w:rPr>
          <w:rFonts w:cs="Times New Roman"/>
          <w:b/>
        </w:rPr>
        <w:t>Kupující</w:t>
      </w:r>
      <w:r w:rsidR="009D6FD0" w:rsidRPr="007C6A85">
        <w:rPr>
          <w:rFonts w:cs="Times New Roman"/>
          <w:b/>
        </w:rPr>
        <w:t>.</w:t>
      </w:r>
    </w:p>
    <w:p w14:paraId="793B01D3" w14:textId="77777777" w:rsidR="003A6B63" w:rsidRPr="003A6B63" w:rsidRDefault="003A6B63" w:rsidP="003A6B63">
      <w:pPr>
        <w:widowControl w:val="0"/>
        <w:autoSpaceDE w:val="0"/>
        <w:autoSpaceDN w:val="0"/>
        <w:adjustRightInd w:val="0"/>
        <w:spacing w:beforeLines="50" w:before="120" w:afterLines="100" w:after="240"/>
        <w:ind w:left="934"/>
        <w:contextualSpacing/>
        <w:jc w:val="both"/>
        <w:rPr>
          <w:rFonts w:cs="Times New Roman"/>
        </w:rPr>
      </w:pPr>
    </w:p>
    <w:p w14:paraId="4BB9C936" w14:textId="3A65886D" w:rsidR="006C1CB5" w:rsidRDefault="00A40F56" w:rsidP="00A40F56">
      <w:pPr>
        <w:spacing w:before="120" w:line="340" w:lineRule="exact"/>
        <w:jc w:val="both"/>
        <w:rPr>
          <w:rFonts w:cstheme="minorHAnsi"/>
          <w:b/>
        </w:rPr>
      </w:pPr>
      <w:r w:rsidRPr="00397CDA">
        <w:rPr>
          <w:rFonts w:cstheme="minorHAnsi"/>
          <w:b/>
        </w:rPr>
        <w:t xml:space="preserve">Smluvní strany prohlašují, že </w:t>
      </w:r>
      <w:r w:rsidR="00435845">
        <w:rPr>
          <w:rFonts w:cstheme="minorHAnsi"/>
          <w:b/>
        </w:rPr>
        <w:t xml:space="preserve">Dodatek </w:t>
      </w:r>
      <w:r w:rsidRPr="00397CDA">
        <w:rPr>
          <w:rFonts w:cstheme="minorHAnsi"/>
          <w:b/>
        </w:rPr>
        <w:t xml:space="preserve">vyjadřuje jejich svobodnou, vážnou, určitou a srozumitelnou vůli prostou omylu. Smluvní strany </w:t>
      </w:r>
      <w:r w:rsidR="0059790F">
        <w:rPr>
          <w:rFonts w:cstheme="minorHAnsi"/>
          <w:b/>
        </w:rPr>
        <w:t xml:space="preserve">si </w:t>
      </w:r>
      <w:r w:rsidR="00435845">
        <w:rPr>
          <w:rFonts w:cstheme="minorHAnsi"/>
          <w:b/>
        </w:rPr>
        <w:t xml:space="preserve">Dodatek </w:t>
      </w:r>
      <w:r w:rsidRPr="00397CDA">
        <w:rPr>
          <w:rFonts w:cstheme="minorHAnsi"/>
          <w:b/>
        </w:rPr>
        <w:t>přečetly a s</w:t>
      </w:r>
      <w:r w:rsidR="00435845">
        <w:rPr>
          <w:rFonts w:cstheme="minorHAnsi"/>
          <w:b/>
        </w:rPr>
        <w:t> </w:t>
      </w:r>
      <w:r w:rsidRPr="00397CDA">
        <w:rPr>
          <w:rFonts w:cstheme="minorHAnsi"/>
          <w:b/>
        </w:rPr>
        <w:t>je</w:t>
      </w:r>
      <w:r w:rsidR="00435845">
        <w:rPr>
          <w:rFonts w:cstheme="minorHAnsi"/>
          <w:b/>
        </w:rPr>
        <w:t>ho o</w:t>
      </w:r>
      <w:r w:rsidRPr="00397CDA">
        <w:rPr>
          <w:rFonts w:cstheme="minorHAnsi"/>
          <w:b/>
        </w:rPr>
        <w:t>bsahem souhlasí, což s</w:t>
      </w:r>
      <w:r>
        <w:rPr>
          <w:rFonts w:cstheme="minorHAnsi"/>
          <w:b/>
        </w:rPr>
        <w:t>tvrzují vlastnoručními podpisy.</w:t>
      </w:r>
    </w:p>
    <w:p w14:paraId="40FECB29" w14:textId="77777777" w:rsidR="00A40F56" w:rsidRDefault="00A40F56" w:rsidP="00A40F5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199CD36" w14:textId="77777777" w:rsidR="00A40F56" w:rsidRDefault="00A40F56" w:rsidP="00A40F56">
      <w:pPr>
        <w:pStyle w:val="Zkladntext"/>
        <w:rPr>
          <w:rFonts w:asciiTheme="minorHAnsi" w:hAnsiTheme="minorHAnsi" w:cstheme="minorHAnsi"/>
          <w:i w:val="0"/>
          <w:sz w:val="22"/>
          <w:szCs w:val="22"/>
        </w:rPr>
      </w:pPr>
      <w:r w:rsidRPr="00A40F56">
        <w:rPr>
          <w:rFonts w:asciiTheme="minorHAnsi" w:hAnsiTheme="minorHAnsi" w:cstheme="minorHAnsi"/>
          <w:i w:val="0"/>
          <w:sz w:val="22"/>
          <w:szCs w:val="22"/>
        </w:rPr>
        <w:t>V ____________ dne ___________</w:t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  <w:t>V____________ dne ___________</w:t>
      </w:r>
    </w:p>
    <w:p w14:paraId="2EDFB9F6" w14:textId="346291B8" w:rsidR="00A40F56" w:rsidRPr="00A40F56" w:rsidRDefault="00A40F56" w:rsidP="00A40F56">
      <w:pPr>
        <w:pStyle w:val="Zkladntext"/>
        <w:rPr>
          <w:rFonts w:asciiTheme="minorHAnsi" w:hAnsiTheme="minorHAnsi" w:cstheme="minorHAnsi"/>
          <w:i w:val="0"/>
          <w:sz w:val="22"/>
          <w:szCs w:val="22"/>
        </w:rPr>
      </w:pP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  <w:r w:rsidRPr="00A40F56">
        <w:rPr>
          <w:rFonts w:asciiTheme="minorHAnsi" w:hAnsiTheme="minorHAnsi" w:cstheme="minorHAnsi"/>
          <w:i w:val="0"/>
          <w:sz w:val="22"/>
          <w:szCs w:val="22"/>
        </w:rPr>
        <w:tab/>
      </w:r>
    </w:p>
    <w:p w14:paraId="57EDEA2F" w14:textId="77777777" w:rsidR="00A40F56" w:rsidRPr="00A40F56" w:rsidRDefault="00A40F56" w:rsidP="00A40F56">
      <w:pPr>
        <w:pStyle w:val="Zkladntext"/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</w:pP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>________________________</w:t>
      </w: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i w:val="0"/>
          <w:sz w:val="22"/>
          <w:szCs w:val="22"/>
          <w:shd w:val="clear" w:color="auto" w:fill="FFFFFF"/>
        </w:rPr>
        <w:tab/>
        <w:t>________________________</w:t>
      </w:r>
    </w:p>
    <w:p w14:paraId="4364A987" w14:textId="6EF182F1" w:rsidR="00D84CAF" w:rsidRDefault="00A40F56" w:rsidP="00A40F56">
      <w:pPr>
        <w:pStyle w:val="Zkladntext"/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</w:pP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>Slavos Slaný, s.r.o.</w:t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</w:r>
      <w:r w:rsidRPr="00A40F56">
        <w:rPr>
          <w:rFonts w:asciiTheme="minorHAnsi" w:eastAsia="Arial" w:hAnsiTheme="minorHAnsi" w:cstheme="minorHAnsi"/>
          <w:b/>
          <w:i w:val="0"/>
          <w:sz w:val="22"/>
          <w:szCs w:val="22"/>
          <w:shd w:val="clear" w:color="auto" w:fill="FFFFFF"/>
        </w:rPr>
        <w:tab/>
        <w:t>Středočeské vodárny, a.s.</w:t>
      </w:r>
    </w:p>
    <w:sectPr w:rsidR="00D84CAF" w:rsidSect="007C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3F00" w14:textId="77777777" w:rsidR="00F46319" w:rsidRDefault="00F46319" w:rsidP="00E00985">
      <w:pPr>
        <w:spacing w:after="0" w:line="240" w:lineRule="auto"/>
      </w:pPr>
      <w:r>
        <w:separator/>
      </w:r>
    </w:p>
  </w:endnote>
  <w:endnote w:type="continuationSeparator" w:id="0">
    <w:p w14:paraId="7441DA51" w14:textId="77777777" w:rsidR="00F46319" w:rsidRDefault="00F46319" w:rsidP="00E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A2CEF" w14:textId="77777777" w:rsidR="00F46319" w:rsidRDefault="00F46319" w:rsidP="00E00985">
      <w:pPr>
        <w:spacing w:after="0" w:line="240" w:lineRule="auto"/>
      </w:pPr>
      <w:r>
        <w:separator/>
      </w:r>
    </w:p>
  </w:footnote>
  <w:footnote w:type="continuationSeparator" w:id="0">
    <w:p w14:paraId="57E7EB77" w14:textId="77777777" w:rsidR="00F46319" w:rsidRDefault="00F46319" w:rsidP="00E00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75C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3A87F5B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CD2D2E"/>
    <w:multiLevelType w:val="multilevel"/>
    <w:tmpl w:val="158C0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3F44B8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98B432F"/>
    <w:multiLevelType w:val="multilevel"/>
    <w:tmpl w:val="F9969A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6.1.1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492EA0"/>
    <w:multiLevelType w:val="multilevel"/>
    <w:tmpl w:val="B79EA0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AC768F7"/>
    <w:multiLevelType w:val="hybridMultilevel"/>
    <w:tmpl w:val="11EABCE4"/>
    <w:lvl w:ilvl="0" w:tplc="A95A7D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6DCA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4CF48CA"/>
    <w:multiLevelType w:val="hybridMultilevel"/>
    <w:tmpl w:val="6CD0E4F2"/>
    <w:lvl w:ilvl="0" w:tplc="BFE2CF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76DE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D119BD"/>
    <w:multiLevelType w:val="hybridMultilevel"/>
    <w:tmpl w:val="7C24EE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4EFA0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02A5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FB72B81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246672E"/>
    <w:multiLevelType w:val="hybridMultilevel"/>
    <w:tmpl w:val="3BA45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81FA6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5210E2E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78677CB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196738F"/>
    <w:multiLevelType w:val="multilevel"/>
    <w:tmpl w:val="158C0F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E663D6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D2C47D2"/>
    <w:multiLevelType w:val="multilevel"/>
    <w:tmpl w:val="FBC44D74"/>
    <w:lvl w:ilvl="0">
      <w:start w:val="1"/>
      <w:numFmt w:val="decimal"/>
      <w:suff w:val="nothing"/>
      <w:lvlText w:val="%1. článek"/>
      <w:lvlJc w:val="left"/>
      <w:pPr>
        <w:ind w:firstLine="4536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934"/>
        </w:tabs>
        <w:ind w:left="934" w:hanging="792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550"/>
      </w:pPr>
      <w:rPr>
        <w:rFonts w:asciiTheme="minorHAnsi" w:hAnsiTheme="minorHAnsi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115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2"/>
  </w:num>
  <w:num w:numId="5">
    <w:abstractNumId w:val="7"/>
  </w:num>
  <w:num w:numId="6">
    <w:abstractNumId w:val="8"/>
  </w:num>
  <w:num w:numId="7">
    <w:abstractNumId w:val="17"/>
  </w:num>
  <w:num w:numId="8">
    <w:abstractNumId w:val="0"/>
  </w:num>
  <w:num w:numId="9">
    <w:abstractNumId w:val="11"/>
  </w:num>
  <w:num w:numId="10">
    <w:abstractNumId w:val="18"/>
  </w:num>
  <w:num w:numId="11">
    <w:abstractNumId w:val="3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4"/>
  </w:num>
  <w:num w:numId="17">
    <w:abstractNumId w:val="9"/>
  </w:num>
  <w:num w:numId="18">
    <w:abstractNumId w:val="13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029"/>
    <w:rsid w:val="00015655"/>
    <w:rsid w:val="00030351"/>
    <w:rsid w:val="00046388"/>
    <w:rsid w:val="000726AD"/>
    <w:rsid w:val="00086B2D"/>
    <w:rsid w:val="000A1C03"/>
    <w:rsid w:val="000C556B"/>
    <w:rsid w:val="000C61AC"/>
    <w:rsid w:val="000E31D5"/>
    <w:rsid w:val="000E3F81"/>
    <w:rsid w:val="000F7B1D"/>
    <w:rsid w:val="0010494F"/>
    <w:rsid w:val="00130880"/>
    <w:rsid w:val="0013115A"/>
    <w:rsid w:val="0013541E"/>
    <w:rsid w:val="001368BD"/>
    <w:rsid w:val="00195DEB"/>
    <w:rsid w:val="001961C7"/>
    <w:rsid w:val="001A0791"/>
    <w:rsid w:val="001A6BE0"/>
    <w:rsid w:val="001B66C4"/>
    <w:rsid w:val="001B7352"/>
    <w:rsid w:val="001D30BF"/>
    <w:rsid w:val="001D6D53"/>
    <w:rsid w:val="001E1BE9"/>
    <w:rsid w:val="001F29D8"/>
    <w:rsid w:val="00225BF8"/>
    <w:rsid w:val="00227B7F"/>
    <w:rsid w:val="00246AF8"/>
    <w:rsid w:val="002775E6"/>
    <w:rsid w:val="002853BA"/>
    <w:rsid w:val="00286364"/>
    <w:rsid w:val="00286DA1"/>
    <w:rsid w:val="00290679"/>
    <w:rsid w:val="002A6A18"/>
    <w:rsid w:val="002B0880"/>
    <w:rsid w:val="002B3D64"/>
    <w:rsid w:val="002C2EDD"/>
    <w:rsid w:val="002D66F9"/>
    <w:rsid w:val="002E0C9D"/>
    <w:rsid w:val="002F2E8B"/>
    <w:rsid w:val="002F3463"/>
    <w:rsid w:val="002F62D9"/>
    <w:rsid w:val="00312226"/>
    <w:rsid w:val="003466CE"/>
    <w:rsid w:val="003728AF"/>
    <w:rsid w:val="00373AE8"/>
    <w:rsid w:val="00387349"/>
    <w:rsid w:val="003A6B63"/>
    <w:rsid w:val="003A7323"/>
    <w:rsid w:val="003B58EE"/>
    <w:rsid w:val="003C12E0"/>
    <w:rsid w:val="004240BB"/>
    <w:rsid w:val="00425A56"/>
    <w:rsid w:val="00430C41"/>
    <w:rsid w:val="00435845"/>
    <w:rsid w:val="00441CCB"/>
    <w:rsid w:val="00445836"/>
    <w:rsid w:val="00446671"/>
    <w:rsid w:val="004469FD"/>
    <w:rsid w:val="00476CA7"/>
    <w:rsid w:val="00485061"/>
    <w:rsid w:val="00506644"/>
    <w:rsid w:val="00532183"/>
    <w:rsid w:val="005611BE"/>
    <w:rsid w:val="00567205"/>
    <w:rsid w:val="0059790F"/>
    <w:rsid w:val="005A0654"/>
    <w:rsid w:val="005B4E17"/>
    <w:rsid w:val="005D42F8"/>
    <w:rsid w:val="005E4C3A"/>
    <w:rsid w:val="005F3120"/>
    <w:rsid w:val="00624267"/>
    <w:rsid w:val="006314C3"/>
    <w:rsid w:val="00637196"/>
    <w:rsid w:val="00653C60"/>
    <w:rsid w:val="00682BC7"/>
    <w:rsid w:val="0069666D"/>
    <w:rsid w:val="006A589E"/>
    <w:rsid w:val="006C1CB5"/>
    <w:rsid w:val="006C5562"/>
    <w:rsid w:val="006E2E69"/>
    <w:rsid w:val="006F632B"/>
    <w:rsid w:val="00700D27"/>
    <w:rsid w:val="00704A95"/>
    <w:rsid w:val="007222BE"/>
    <w:rsid w:val="00745CD2"/>
    <w:rsid w:val="007646D7"/>
    <w:rsid w:val="0076792E"/>
    <w:rsid w:val="0077671B"/>
    <w:rsid w:val="007854A7"/>
    <w:rsid w:val="007B4029"/>
    <w:rsid w:val="007C6A04"/>
    <w:rsid w:val="007C6A85"/>
    <w:rsid w:val="007E0B8B"/>
    <w:rsid w:val="00804594"/>
    <w:rsid w:val="0080634A"/>
    <w:rsid w:val="008301CB"/>
    <w:rsid w:val="00834B51"/>
    <w:rsid w:val="00877B25"/>
    <w:rsid w:val="00883E80"/>
    <w:rsid w:val="00893BD2"/>
    <w:rsid w:val="008B3278"/>
    <w:rsid w:val="008B5272"/>
    <w:rsid w:val="00967213"/>
    <w:rsid w:val="009809A9"/>
    <w:rsid w:val="00985AC1"/>
    <w:rsid w:val="009A12E1"/>
    <w:rsid w:val="009C036F"/>
    <w:rsid w:val="009D6FD0"/>
    <w:rsid w:val="00A05FE5"/>
    <w:rsid w:val="00A1537F"/>
    <w:rsid w:val="00A17D4D"/>
    <w:rsid w:val="00A374A8"/>
    <w:rsid w:val="00A40F56"/>
    <w:rsid w:val="00A72FF2"/>
    <w:rsid w:val="00A81FD9"/>
    <w:rsid w:val="00A84A89"/>
    <w:rsid w:val="00A86158"/>
    <w:rsid w:val="00AB298B"/>
    <w:rsid w:val="00AB4FE6"/>
    <w:rsid w:val="00AB7413"/>
    <w:rsid w:val="00AD66BC"/>
    <w:rsid w:val="00AE3EA1"/>
    <w:rsid w:val="00B078CE"/>
    <w:rsid w:val="00B11EAB"/>
    <w:rsid w:val="00B14BEA"/>
    <w:rsid w:val="00B26447"/>
    <w:rsid w:val="00B3458B"/>
    <w:rsid w:val="00B45C65"/>
    <w:rsid w:val="00B5599E"/>
    <w:rsid w:val="00B57B35"/>
    <w:rsid w:val="00B61CF6"/>
    <w:rsid w:val="00B63E09"/>
    <w:rsid w:val="00B72CFC"/>
    <w:rsid w:val="00BA088D"/>
    <w:rsid w:val="00BD2EED"/>
    <w:rsid w:val="00BF6CDE"/>
    <w:rsid w:val="00C044CB"/>
    <w:rsid w:val="00C33562"/>
    <w:rsid w:val="00C36D4B"/>
    <w:rsid w:val="00C37D1E"/>
    <w:rsid w:val="00C426CF"/>
    <w:rsid w:val="00C52B9F"/>
    <w:rsid w:val="00C60BC2"/>
    <w:rsid w:val="00C627E3"/>
    <w:rsid w:val="00C65463"/>
    <w:rsid w:val="00C70CF2"/>
    <w:rsid w:val="00C75CC6"/>
    <w:rsid w:val="00CB55F3"/>
    <w:rsid w:val="00CC318A"/>
    <w:rsid w:val="00CE3504"/>
    <w:rsid w:val="00D22FAE"/>
    <w:rsid w:val="00D246BF"/>
    <w:rsid w:val="00D26AC8"/>
    <w:rsid w:val="00D309D0"/>
    <w:rsid w:val="00D35BA3"/>
    <w:rsid w:val="00D47F9F"/>
    <w:rsid w:val="00D52986"/>
    <w:rsid w:val="00D57896"/>
    <w:rsid w:val="00D70690"/>
    <w:rsid w:val="00D70989"/>
    <w:rsid w:val="00D81556"/>
    <w:rsid w:val="00D84CAF"/>
    <w:rsid w:val="00DC6E3B"/>
    <w:rsid w:val="00DD1A56"/>
    <w:rsid w:val="00DD1C42"/>
    <w:rsid w:val="00DE498F"/>
    <w:rsid w:val="00DE75E3"/>
    <w:rsid w:val="00E00985"/>
    <w:rsid w:val="00E27B2A"/>
    <w:rsid w:val="00E51B5E"/>
    <w:rsid w:val="00E54F4E"/>
    <w:rsid w:val="00E565E4"/>
    <w:rsid w:val="00E608CD"/>
    <w:rsid w:val="00E656E2"/>
    <w:rsid w:val="00E76C6E"/>
    <w:rsid w:val="00EA4F49"/>
    <w:rsid w:val="00EB520E"/>
    <w:rsid w:val="00ED6257"/>
    <w:rsid w:val="00F01ABE"/>
    <w:rsid w:val="00F03D8D"/>
    <w:rsid w:val="00F1769E"/>
    <w:rsid w:val="00F209FF"/>
    <w:rsid w:val="00F251D3"/>
    <w:rsid w:val="00F45A90"/>
    <w:rsid w:val="00F46319"/>
    <w:rsid w:val="00F764D1"/>
    <w:rsid w:val="00F87153"/>
    <w:rsid w:val="00FE17ED"/>
    <w:rsid w:val="00FE5523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71B2"/>
  <w15:docId w15:val="{BA4840CA-0499-4256-B649-DD48C84E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CCB"/>
  </w:style>
  <w:style w:type="paragraph" w:styleId="Nadpis1">
    <w:name w:val="heading 1"/>
    <w:basedOn w:val="Normln"/>
    <w:next w:val="Nzev"/>
    <w:link w:val="Nadpis1Char"/>
    <w:uiPriority w:val="99"/>
    <w:qFormat/>
    <w:rsid w:val="00E00985"/>
    <w:pPr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7B4029"/>
    <w:pPr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B4029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Bezmezer">
    <w:name w:val="No Spacing"/>
    <w:uiPriority w:val="1"/>
    <w:qFormat/>
    <w:rsid w:val="005E4C3A"/>
    <w:pPr>
      <w:spacing w:after="0" w:line="240" w:lineRule="auto"/>
    </w:pPr>
  </w:style>
  <w:style w:type="paragraph" w:styleId="Odstavecseseznamem">
    <w:name w:val="List Paragraph"/>
    <w:basedOn w:val="Normln"/>
    <w:uiPriority w:val="99"/>
    <w:qFormat/>
    <w:rsid w:val="00D57896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A374A8"/>
    <w:pPr>
      <w:jc w:val="both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374A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985"/>
  </w:style>
  <w:style w:type="paragraph" w:styleId="Zpat">
    <w:name w:val="footer"/>
    <w:basedOn w:val="Normln"/>
    <w:link w:val="ZpatChar"/>
    <w:uiPriority w:val="99"/>
    <w:unhideWhenUsed/>
    <w:rsid w:val="00E00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985"/>
  </w:style>
  <w:style w:type="paragraph" w:styleId="Textbubliny">
    <w:name w:val="Balloon Text"/>
    <w:basedOn w:val="Normln"/>
    <w:link w:val="TextbublinyChar"/>
    <w:uiPriority w:val="99"/>
    <w:semiHidden/>
    <w:unhideWhenUsed/>
    <w:rsid w:val="00E0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98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E009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424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C036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6C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6C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6C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6C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6CDE"/>
    <w:rPr>
      <w:b/>
      <w:bCs/>
      <w:sz w:val="20"/>
      <w:szCs w:val="20"/>
    </w:rPr>
  </w:style>
  <w:style w:type="paragraph" w:customStyle="1" w:styleId="Standardnte">
    <w:name w:val="Standardní te"/>
    <w:basedOn w:val="Normln"/>
    <w:rsid w:val="005611B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AKVSP</cp:lastModifiedBy>
  <cp:revision>4</cp:revision>
  <cp:lastPrinted>2019-05-13T14:05:00Z</cp:lastPrinted>
  <dcterms:created xsi:type="dcterms:W3CDTF">2019-07-30T10:40:00Z</dcterms:created>
  <dcterms:modified xsi:type="dcterms:W3CDTF">2019-07-30T11:20:00Z</dcterms:modified>
</cp:coreProperties>
</file>