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sz w:val="28"/>
          <w:szCs w:val="28"/>
        </w:rPr>
        <w:id w:val="280120844"/>
        <w:lock w:val="contentLocked"/>
        <w:placeholder>
          <w:docPart w:val="B04DC21AD6BB4E6A99D874BF10D858C8"/>
        </w:placeholder>
      </w:sdtPr>
      <w:sdtEndPr>
        <w:rPr>
          <w:b w:val="0"/>
          <w:bCs w:val="0"/>
          <w:color w:val="231F20"/>
          <w:sz w:val="13"/>
          <w:szCs w:val="13"/>
        </w:rPr>
      </w:sdtEndPr>
      <w:sdtContent>
        <w:p w:rsidR="00FE0136" w:rsidRDefault="00FE0136" w:rsidP="004D6CA1">
          <w:pPr>
            <w:autoSpaceDE w:val="0"/>
            <w:autoSpaceDN w:val="0"/>
            <w:adjustRightInd w:val="0"/>
            <w:rPr>
              <w:b/>
              <w:bCs/>
              <w:sz w:val="28"/>
              <w:szCs w:val="28"/>
            </w:rPr>
          </w:pPr>
          <w:r>
            <w:rPr>
              <w:b/>
              <w:bCs/>
              <w:sz w:val="28"/>
              <w:szCs w:val="28"/>
            </w:rPr>
            <w:t>Obchodní podmínky dodávky</w:t>
          </w:r>
          <w:bookmarkStart w:id="0" w:name="_GoBack"/>
          <w:bookmarkEnd w:id="0"/>
          <w:r>
            <w:rPr>
              <w:b/>
              <w:bCs/>
              <w:sz w:val="28"/>
              <w:szCs w:val="28"/>
            </w:rPr>
            <w:t xml:space="preserve"> e</w:t>
          </w:r>
          <w:r w:rsidRPr="00EC2A4F">
            <w:rPr>
              <w:b/>
              <w:bCs/>
              <w:sz w:val="28"/>
              <w:szCs w:val="28"/>
            </w:rPr>
            <w:t>lektřiny</w:t>
          </w:r>
        </w:p>
        <w:p w:rsidR="00FE0136" w:rsidRPr="00464827" w:rsidRDefault="00FE0136" w:rsidP="004D6CA1">
          <w:pPr>
            <w:autoSpaceDE w:val="0"/>
            <w:autoSpaceDN w:val="0"/>
            <w:adjustRightInd w:val="0"/>
            <w:spacing w:before="120"/>
            <w:rPr>
              <w:b/>
              <w:bCs/>
              <w:sz w:val="20"/>
              <w:szCs w:val="20"/>
            </w:rPr>
          </w:pPr>
          <w:r w:rsidRPr="00464827">
            <w:rPr>
              <w:b/>
              <w:sz w:val="20"/>
              <w:szCs w:val="20"/>
            </w:rPr>
            <w:t>(dále jen „OPDE“)</w:t>
          </w:r>
        </w:p>
        <w:p w:rsidR="00FE0136" w:rsidRDefault="00FE0136" w:rsidP="004D6CA1">
          <w:pPr>
            <w:autoSpaceDE w:val="0"/>
            <w:autoSpaceDN w:val="0"/>
            <w:adjustRightInd w:val="0"/>
            <w:rPr>
              <w:b/>
              <w:bCs/>
              <w:sz w:val="28"/>
              <w:szCs w:val="28"/>
            </w:rPr>
          </w:pPr>
        </w:p>
        <w:p w:rsidR="00FE0136" w:rsidRDefault="00FE0136" w:rsidP="004D6CA1">
          <w:pPr>
            <w:autoSpaceDE w:val="0"/>
            <w:autoSpaceDN w:val="0"/>
            <w:adjustRightInd w:val="0"/>
            <w:rPr>
              <w:b/>
              <w:bCs/>
              <w:sz w:val="28"/>
              <w:szCs w:val="28"/>
            </w:rPr>
            <w:sectPr w:rsidR="00FE0136" w:rsidSect="00F0019A">
              <w:pgSz w:w="11906" w:h="16838" w:code="9"/>
              <w:pgMar w:top="2268" w:right="1418" w:bottom="1531" w:left="1418" w:header="709" w:footer="1021" w:gutter="0"/>
              <w:cols w:space="708"/>
              <w:docGrid w:linePitch="360"/>
            </w:sect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BB6413">
            <w:rPr>
              <w:b/>
              <w:color w:val="231F20"/>
              <w:sz w:val="13"/>
              <w:szCs w:val="13"/>
            </w:rPr>
            <w:lastRenderedPageBreak/>
            <w:t>Obecná ustanovení</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Tyto OPDE upravují smluvní vztahy ve smyslu § 273 zákona č. 513/1991 Sb., obchodní zákoník ve znění pozdějších předpisů při poskytování dodávky či sdružených služeb dodávky elektrické energie (dále jen „elektřina“), vznikající při poskytování dodávky elektřiny ze sítí VN a VVN, mezi společností E. ON Energie, a. s., se sídlem F. A. Gerstnera 2151/6, 370 49 České Budějovice, IČ 26078201, zapsané v OR vedeném u KS v Českých Budějovicích v oddíle B, vložka 1390 (dále jen „Dodavatel“) a Zákazníkem a stávají se tak součástí Smlouvy o dodávce elektřiny nebo Smlouvy o sdružených službách dodávky elektřiny (dále také „Smlouva“), jestliže s</w:t>
          </w:r>
          <w:r>
            <w:rPr>
              <w:color w:val="231F20"/>
              <w:sz w:val="13"/>
              <w:szCs w:val="13"/>
            </w:rPr>
            <w:t>mluvní strany s nimi souhlasí a </w:t>
          </w:r>
          <w:r w:rsidRPr="00EF400C">
            <w:rPr>
              <w:color w:val="231F20"/>
              <w:sz w:val="13"/>
              <w:szCs w:val="13"/>
            </w:rPr>
            <w:t>prohlásí je takto za součást Smlouvy</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Dodavatel a Zákazník se zavazují při plnění Smlouv</w:t>
          </w:r>
          <w:r>
            <w:rPr>
              <w:color w:val="231F20"/>
              <w:sz w:val="13"/>
              <w:szCs w:val="13"/>
            </w:rPr>
            <w:t>y postupovat v </w:t>
          </w:r>
          <w:r w:rsidRPr="00EF400C">
            <w:rPr>
              <w:color w:val="231F20"/>
              <w:sz w:val="13"/>
              <w:szCs w:val="13"/>
            </w:rPr>
            <w:t>souladu s těmito OPDE, dále platnými Pravidly provozování distribuční soustavy místně příslušného provozovatele distribuční soustavy, právními předpisy i technickými normami</w:t>
          </w:r>
          <w:r w:rsidRPr="00BB6413">
            <w:rPr>
              <w:color w:val="231F20"/>
              <w:sz w:val="13"/>
              <w:szCs w:val="13"/>
            </w:rPr>
            <w:t>.</w:t>
          </w:r>
        </w:p>
        <w:p w:rsidR="00FE0136" w:rsidRPr="00BB6413" w:rsidRDefault="00FE0136" w:rsidP="004D6CA1">
          <w:pPr>
            <w:tabs>
              <w:tab w:val="num" w:pos="360"/>
            </w:tabs>
            <w:autoSpaceDE w:val="0"/>
            <w:autoSpaceDN w:val="0"/>
            <w:adjustRightInd w:val="0"/>
            <w:jc w:val="both"/>
            <w:rPr>
              <w:color w:val="231F20"/>
              <w:sz w:val="13"/>
              <w:szCs w:val="13"/>
            </w:r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EF400C">
            <w:rPr>
              <w:b/>
              <w:color w:val="231F20"/>
              <w:sz w:val="13"/>
              <w:szCs w:val="13"/>
            </w:rPr>
            <w:t>Práva a povinnosti smluvních stran</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Dodavatel se zavazuje dodávat Zákazníkovi elektřinu ve sjednaném množství a časovém průběhu do odběrného místa, pokud tomu nebrání okolnosti vyvolané provozovatelem distribuční soustavy (dále jen „PDS“) nebo okolnosti stanovené právními předpisy a pokud je pro dané odběrné místo uzavřena Smlouva o distribuci elektřiny s příslušným PDS</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V případě uzavřené Smlouvy o sdružených službách dodávky elektřiny se Dodavatel zavazuje zajistit na vlastní jméno a na vlastní účet dopravu elektřiny a související služby do odběrného místa uvedeného ve Smlouvě</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Dodavatel se zavazuje převzít za Zákazníka závazek odebrat elektřinu z elektrizační soustavy dle zvláštního právního předpisu, tzn. převzít odpovědnost za odchylku, pokud není ve Smlouvě sjednáno jinak. Tento závazek je Dodavatel povinen plnit pouze za předpokladu plnění závazku Zákazníka dle odst. 2.7 těchto OPDE</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Zákazník se zavazuje zaplatit Dodavateli cenu za elektřinu sjednanou ve Smlouvě a v případě uzavřené Smlouvy o sdružených službách dodávky elektřiny i cenu regulovanou za dopravu elektřiny a související služby</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 xml:space="preserve">Množství a časový průběh odběru elektřiny pro odběrné místo sjednává Zákazník s Dodavatelem ve Smlouvě nebo formou písemného Plánu odběru elektrické energie (dále jen „POEE“) na následující rok s rozpisem do jednotlivých měsíců. Pro první odběrové období se sjednává množství a časový průběh při podpisu Smlouvy a na následující rok pak vždy nejpozději do 30. listopadu předcházejícího roku. </w:t>
          </w:r>
          <w:r w:rsidRPr="00EF400C">
            <w:rPr>
              <w:sz w:val="13"/>
              <w:szCs w:val="13"/>
            </w:rPr>
            <w:t>V případě sjednání množství elektřiny ve Smlouvě je plánované množství elektřiny uváděné v POEE a Odběrovém diagramu elektrické energie (dále jen „ODEE“) s rozpisem do jednotlivých měsíců pouze orientační. Pokud Zákazník nesjedná POEE do uvedeného data, platí hodnoty sjednané</w:t>
          </w:r>
          <w:r w:rsidRPr="00EF400C">
            <w:rPr>
              <w:color w:val="231F20"/>
              <w:sz w:val="13"/>
              <w:szCs w:val="13"/>
            </w:rPr>
            <w:t xml:space="preserve"> na předcházející období. POEE je nedílnou součástí Smlouvy. Změny POEE se provádějí formou aktualizovaného POEE nebo formou sjednaného ODEE, případně jiným ve Smlouvě dohodnutým způsobem. POEE nebo sjednaný ODEE podepisují za smluvní strany osoby určené ve Smlouvě</w:t>
          </w:r>
          <w:r w:rsidRPr="00BB6413">
            <w:rPr>
              <w:color w:val="231F20"/>
              <w:sz w:val="13"/>
              <w:szCs w:val="13"/>
            </w:rPr>
            <w:t>.</w:t>
          </w:r>
        </w:p>
        <w:p w:rsidR="00FE0136" w:rsidRPr="00013641"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Zákazník si může zvolit libovolný produkt, pokud splňuje podmínky pro jeho přiznání. O změnu produktu u téhož Zákazníka v témže odběrném místě lze požádat nejdříve po uplynutí 12 měsíců od posledního přiznání produktu nebo jeho poslední změny, pokud se Dodavatel se Zákazníkem nedohodnou jinak. Změna produktu u Zákazníka se provede nejpozději do 3 měsíců od podání žádosti o změnu produktu. Toto ustanovení se nevztahuje pro Smlouvy uzavřené na dobu určitou</w:t>
          </w:r>
          <w:r w:rsidRPr="00013641">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Zákazník se zavazuje nesjednávat dodávku elektřiny do odběrného místa od více dodavatelů ve smyslu příslušných právních předpisů z důvodu přenesení své odpovědnosti za odchylku na Dodavatele, pokud není ve Smlouvě dohodnuto jinak</w:t>
          </w:r>
          <w:r w:rsidRPr="00BB6413">
            <w:rPr>
              <w:color w:val="231F20"/>
              <w:sz w:val="13"/>
              <w:szCs w:val="13"/>
            </w:rPr>
            <w:t>.</w:t>
          </w:r>
        </w:p>
        <w:p w:rsidR="00FE0136" w:rsidRPr="00890835" w:rsidRDefault="00FE0136" w:rsidP="004D6CA1">
          <w:pPr>
            <w:framePr w:w="174" w:h="1979" w:hSpace="181" w:wrap="notBeside" w:vAnchor="page" w:hAnchor="page" w:x="728" w:y="12685"/>
            <w:textDirection w:val="btLr"/>
            <w:rPr>
              <w:sz w:val="16"/>
              <w:szCs w:val="18"/>
            </w:rPr>
          </w:pPr>
          <w:r>
            <w:rPr>
              <w:sz w:val="16"/>
              <w:szCs w:val="18"/>
            </w:rPr>
            <w:t>1305100001-1011</w:t>
          </w:r>
          <w:r w:rsidRPr="00890835">
            <w:rPr>
              <w:sz w:val="16"/>
              <w:szCs w:val="18"/>
            </w:rPr>
            <w:t>-088-2</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Zákazník, jehož odběrné zařízení je připojeno na hladinu VN nebo VVN, sjednává v případě uzavřené Smlouvy o sdružených službách dodávky elektřiny výši roční, případně měsíční rezervované kapacity pro odběrné místo v POEE nebo v ODEE. V průběhu trvání Smlouvy je možné sjednávat nebo upřesňovat rezervovanou kapacitu nejpozději dva dny před posledním pracovním dnem měsíce, který předchází termínu, od kterého má nová hodnota rezervované kapacity platit, a to formou aktualizovaného POEE nebo formou ODEE, případně jiným ve Smlouvě dohodnutým způsobem. Rezervovaná kapacita může být však sjednána jen do výše hodnoty rezervovaného příkonu, který je sjednán mezi Zákazníkem a příslušným PDS</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Při stavech nouze a při předcházení stavu nouze je Zákazník povinen se podřídit omezení spotřeby elektřiny nebo změně dodávky elektřiny. Zákazník se zavazuje řídit se opatřeními a informacemi o vyhlášení omezujících regulačních opatření podle platné legislativy a postupovat při předcházení stavu nouze, ve stavu nouze a odstraňování následků stavu nouze v elektroenergetice dle příslušného právního předpisu. Zákazník se zejména zavazuje řídit se pokyny technického dispečinku provozovatele přenos</w:t>
          </w:r>
          <w:r>
            <w:rPr>
              <w:color w:val="231F20"/>
              <w:sz w:val="13"/>
              <w:szCs w:val="13"/>
            </w:rPr>
            <w:t>ové soustavy (dále jen „PPS“) a </w:t>
          </w:r>
          <w:r w:rsidRPr="00EF400C">
            <w:rPr>
              <w:color w:val="231F20"/>
              <w:sz w:val="13"/>
              <w:szCs w:val="13"/>
            </w:rPr>
            <w:t xml:space="preserve">příslušného PDS při činnostech bezprostředně zamezujících stavu nouze, při stavech nouze a při likvidaci následků stavů nouze. V případě uzavřené Smlouvy o sdružených službách dodávky elektřiny jsou údaje o regulačních stupních součástí POEE nebo ODEE nebo jsou uvedeny ve Smlouvě. Údaje o kontaktní osobě Zákazníka (jméno, mobilní telefon, e-mail) pro zasílání zpráv o </w:t>
          </w:r>
          <w:r w:rsidRPr="00EF400C">
            <w:rPr>
              <w:color w:val="231F20"/>
              <w:sz w:val="13"/>
              <w:szCs w:val="13"/>
            </w:rPr>
            <w:lastRenderedPageBreak/>
            <w:t>velikosti výkonu snížení spotřeby elektřiny jsou rovněž součástí POEE nebo ODEE nebo jsou uvedeny ve Smlouvě. Zákazník se zavazuje při změně údajů o kontaktní osobě informovat Dodavatele, a to bez zbytečného odkladu po vzniku změny</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Pr>
              <w:color w:val="231F20"/>
              <w:sz w:val="13"/>
              <w:szCs w:val="13"/>
            </w:rPr>
            <w:t xml:space="preserve">  </w:t>
          </w:r>
          <w:r w:rsidRPr="00EF400C">
            <w:rPr>
              <w:color w:val="231F20"/>
              <w:sz w:val="13"/>
              <w:szCs w:val="13"/>
            </w:rPr>
            <w:t xml:space="preserve">Zákazník </w:t>
          </w:r>
          <w:r w:rsidRPr="00EF400C">
            <w:rPr>
              <w:sz w:val="13"/>
              <w:szCs w:val="13"/>
            </w:rPr>
            <w:t>se zavazuje v případě neočekávané události (havárie odběrného elektrického</w:t>
          </w:r>
          <w:r w:rsidRPr="00EF400C">
            <w:rPr>
              <w:color w:val="231F20"/>
              <w:sz w:val="13"/>
              <w:szCs w:val="13"/>
            </w:rPr>
            <w:t xml:space="preserve"> </w:t>
          </w:r>
          <w:r w:rsidRPr="00EF400C">
            <w:rPr>
              <w:sz w:val="13"/>
              <w:szCs w:val="13"/>
            </w:rPr>
            <w:t>zařízení, havárie výrobního zařízení) mající vliv na jeho odběr elektřiny bez zbytečného odkladu od jejího zjištění tuto skutečnost oznámit Dodavateli.</w:t>
          </w:r>
          <w:r w:rsidRPr="00EF400C">
            <w:rPr>
              <w:color w:val="231F20"/>
              <w:sz w:val="13"/>
              <w:szCs w:val="13"/>
            </w:rPr>
            <w:t xml:space="preserve"> </w:t>
          </w:r>
          <w:r w:rsidRPr="00EF400C">
            <w:rPr>
              <w:sz w:val="13"/>
              <w:szCs w:val="13"/>
            </w:rPr>
            <w:t>V případě očekávané události (plánované opravy, celozávodní dovolené),</w:t>
          </w:r>
          <w:r w:rsidRPr="00EF400C">
            <w:rPr>
              <w:color w:val="231F20"/>
              <w:sz w:val="13"/>
              <w:szCs w:val="13"/>
            </w:rPr>
            <w:t xml:space="preserve"> </w:t>
          </w:r>
          <w:r w:rsidRPr="00EF400C">
            <w:rPr>
              <w:sz w:val="13"/>
              <w:szCs w:val="13"/>
            </w:rPr>
            <w:t>která má vliv na jeho odběr elektřiny, se Zákazník zavazuje do 10 dnů před</w:t>
          </w:r>
          <w:r w:rsidRPr="00EF400C">
            <w:rPr>
              <w:color w:val="231F20"/>
              <w:sz w:val="13"/>
              <w:szCs w:val="13"/>
            </w:rPr>
            <w:t xml:space="preserve"> </w:t>
          </w:r>
          <w:r w:rsidRPr="00EF400C">
            <w:rPr>
              <w:sz w:val="13"/>
              <w:szCs w:val="13"/>
            </w:rPr>
            <w:t>jejím počátkem tuto skutečnost oznámit Dodavateli. Pro tyto účely se vždy za</w:t>
          </w:r>
          <w:r w:rsidRPr="00EF400C">
            <w:rPr>
              <w:color w:val="231F20"/>
              <w:sz w:val="13"/>
              <w:szCs w:val="13"/>
            </w:rPr>
            <w:t xml:space="preserve"> </w:t>
          </w:r>
          <w:r w:rsidRPr="00EF400C">
            <w:rPr>
              <w:sz w:val="13"/>
              <w:szCs w:val="13"/>
            </w:rPr>
            <w:t>událost považuje každá výrazná změna (o více než 2 MW oproti standardnímu stavu), která není vyvolaná změnou venkovních teplot</w:t>
          </w:r>
          <w:r w:rsidRPr="00BB6413">
            <w:rPr>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sz w:val="13"/>
              <w:szCs w:val="13"/>
            </w:rPr>
          </w:pPr>
          <w:r>
            <w:rPr>
              <w:color w:val="231F20"/>
              <w:sz w:val="13"/>
              <w:szCs w:val="13"/>
            </w:rPr>
            <w:t xml:space="preserve">  </w:t>
          </w:r>
          <w:r w:rsidRPr="00EF400C">
            <w:rPr>
              <w:color w:val="231F20"/>
              <w:sz w:val="13"/>
              <w:szCs w:val="13"/>
            </w:rPr>
            <w:t>Zákazník je povinen předložit Dodavateli Povolení k nabytí elektřiny osvobozené od daně z elektřiny (dále jen „Pov</w:t>
          </w:r>
          <w:r>
            <w:rPr>
              <w:color w:val="231F20"/>
              <w:sz w:val="13"/>
              <w:szCs w:val="13"/>
            </w:rPr>
            <w:t>olení“), je-li jeho držitelem a </w:t>
          </w:r>
          <w:r w:rsidRPr="00EF400C">
            <w:rPr>
              <w:color w:val="231F20"/>
              <w:sz w:val="13"/>
              <w:szCs w:val="13"/>
            </w:rPr>
            <w:t>uplatňuje-li osvobození od této daně, případně další doklad, uplatňuje-li osvobození od jiné daně. Zároveň je Zákazník povinen v případě zániku či zrušení Povolení dle předchozí věty tuto skutečnost Dodavateli oznámit, a to bez zbytečného odkladu, nejdéle však do 2. pracovního dne ode dne zániku nebo zrušení tohoto Povolení. Za každé porušení povinnosti Zákazníka dle předchozí věty je Zákazník povinen Dodavateli zaplatit smluvní pokutu ve výši 200 000 Kč. Nárok Dodavatele na náhradu škody není zaplacením uvedené smluvní pokuty dotčen</w:t>
          </w:r>
          <w:r w:rsidRPr="00BB6413">
            <w:rPr>
              <w:color w:val="231F20"/>
              <w:sz w:val="13"/>
              <w:szCs w:val="13"/>
            </w:rPr>
            <w:t>.</w:t>
          </w:r>
        </w:p>
        <w:p w:rsidR="00FE0136" w:rsidRPr="00464827" w:rsidRDefault="00FE0136" w:rsidP="00FE0136">
          <w:pPr>
            <w:numPr>
              <w:ilvl w:val="1"/>
              <w:numId w:val="1"/>
            </w:numPr>
            <w:tabs>
              <w:tab w:val="clear" w:pos="792"/>
              <w:tab w:val="num" w:pos="284"/>
              <w:tab w:val="left" w:pos="567"/>
            </w:tabs>
            <w:autoSpaceDE w:val="0"/>
            <w:autoSpaceDN w:val="0"/>
            <w:adjustRightInd w:val="0"/>
            <w:ind w:left="0" w:firstLine="0"/>
            <w:jc w:val="both"/>
            <w:rPr>
              <w:sz w:val="13"/>
              <w:szCs w:val="13"/>
            </w:rPr>
          </w:pPr>
          <w:r>
            <w:rPr>
              <w:sz w:val="13"/>
              <w:szCs w:val="13"/>
            </w:rPr>
            <w:t xml:space="preserve">  </w:t>
          </w:r>
          <w:r w:rsidRPr="00EF400C">
            <w:rPr>
              <w:sz w:val="13"/>
              <w:szCs w:val="13"/>
            </w:rPr>
            <w:t>Zákazník se zavazuje poskytnout Dodavateli na požádání aktuální účetní závěrku obsahující rozvahu a výkaz zisku a ztráty v plném rozsahu. Tyto data budou sloužit Dodavateli výhradně k analýze důvěryhodnosti a kredibility Zákazníka</w:t>
          </w:r>
          <w:r w:rsidRPr="00BB6413">
            <w:rPr>
              <w:bCs/>
              <w:color w:val="00000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sz w:val="13"/>
              <w:szCs w:val="13"/>
            </w:rPr>
          </w:pPr>
          <w:r>
            <w:rPr>
              <w:sz w:val="13"/>
              <w:szCs w:val="13"/>
            </w:rPr>
            <w:t xml:space="preserve">  </w:t>
          </w:r>
          <w:r w:rsidRPr="00EF400C">
            <w:rPr>
              <w:sz w:val="13"/>
              <w:szCs w:val="13"/>
            </w:rPr>
            <w:t>V případě ukončení smluvního vztahu odstoupením od smlouvy z důvodu porušení smluvních povinností jednou ze smluvních stran, se smluvní strana, která porušení způsobila, zavazuje uhradit druhé smluvní straně smluvní sankci. Výše smluvní sankce se stanoví so</w:t>
          </w:r>
          <w:r>
            <w:rPr>
              <w:sz w:val="13"/>
              <w:szCs w:val="13"/>
            </w:rPr>
            <w:t>učinem 50 % dohodnuté ceny za 1 </w:t>
          </w:r>
          <w:r w:rsidRPr="00EF400C">
            <w:rPr>
              <w:sz w:val="13"/>
              <w:szCs w:val="13"/>
            </w:rPr>
            <w:t>MWh elektrické energie a dohodnutého nedodaného / neodebraného množství elektrické energie. Dohodnuté nedodané / neodebrané množství elektrické energie se stanoví jako součin průměrné den</w:t>
          </w:r>
          <w:r>
            <w:rPr>
              <w:sz w:val="13"/>
              <w:szCs w:val="13"/>
            </w:rPr>
            <w:t>ní spotřeby v předcházejících 2 </w:t>
          </w:r>
          <w:r w:rsidRPr="00EF400C">
            <w:rPr>
              <w:sz w:val="13"/>
              <w:szCs w:val="13"/>
            </w:rPr>
            <w:t>kalendářních měsících a počet dní, ve kterých nebyla dodržena délka trvání smluvního vztahu</w:t>
          </w:r>
          <w:r>
            <w:rPr>
              <w:sz w:val="13"/>
              <w:szCs w:val="13"/>
            </w:rPr>
            <w:t>.</w:t>
          </w:r>
        </w:p>
        <w:p w:rsidR="00FE0136" w:rsidRPr="00BB6413" w:rsidRDefault="00FE0136" w:rsidP="004D6CA1">
          <w:pPr>
            <w:tabs>
              <w:tab w:val="num" w:pos="360"/>
            </w:tabs>
            <w:autoSpaceDE w:val="0"/>
            <w:autoSpaceDN w:val="0"/>
            <w:adjustRightInd w:val="0"/>
            <w:jc w:val="both"/>
            <w:rPr>
              <w:color w:val="231F20"/>
              <w:sz w:val="13"/>
              <w:szCs w:val="13"/>
            </w:r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EF400C">
            <w:rPr>
              <w:b/>
              <w:color w:val="231F20"/>
              <w:sz w:val="13"/>
              <w:szCs w:val="13"/>
            </w:rPr>
            <w:t>Měření elektřiny a provádění odečtů</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Způsob měření elektřiny a předávání naměřených údajů se řídí platným energetickým zákonem a zvláštním právním předpisem, kterým se stanoví podrobnosti měření elektřiny a předávání technických údajů, a Pravidly provozování distribuční soustavy místně příslušného PDS</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sz w:val="13"/>
              <w:szCs w:val="13"/>
            </w:rPr>
            <w:t>Zákazník je povinen bez zbytečného odkladu oznámit Dodavateli poškození</w:t>
          </w:r>
          <w:r w:rsidRPr="00EF400C">
            <w:rPr>
              <w:color w:val="231F20"/>
              <w:sz w:val="13"/>
              <w:szCs w:val="13"/>
            </w:rPr>
            <w:t xml:space="preserve"> či jiné závady na </w:t>
          </w:r>
          <w:r w:rsidRPr="00EF400C">
            <w:rPr>
              <w:sz w:val="13"/>
              <w:szCs w:val="13"/>
            </w:rPr>
            <w:t>měřicím zařízení včetně porušení zajištění proti neoprávněné manipulaci, které zjistí, případně jinou událost mající vliv na řádnou</w:t>
          </w:r>
          <w:r w:rsidRPr="00EF400C">
            <w:rPr>
              <w:color w:val="231F20"/>
              <w:sz w:val="13"/>
              <w:szCs w:val="13"/>
            </w:rPr>
            <w:t xml:space="preserve"> </w:t>
          </w:r>
          <w:r w:rsidRPr="00EF400C">
            <w:rPr>
              <w:sz w:val="13"/>
              <w:szCs w:val="13"/>
            </w:rPr>
            <w:t>funkci měřicího zařízení</w:t>
          </w:r>
          <w:r w:rsidRPr="00BB6413">
            <w:rPr>
              <w:color w:val="231F20"/>
              <w:sz w:val="13"/>
              <w:szCs w:val="13"/>
            </w:rPr>
            <w:t>.</w:t>
          </w:r>
        </w:p>
        <w:p w:rsidR="00FE0136" w:rsidRPr="00BB6413" w:rsidRDefault="00FE0136" w:rsidP="004D6CA1">
          <w:pPr>
            <w:tabs>
              <w:tab w:val="num" w:pos="360"/>
            </w:tabs>
            <w:autoSpaceDE w:val="0"/>
            <w:autoSpaceDN w:val="0"/>
            <w:adjustRightInd w:val="0"/>
            <w:jc w:val="both"/>
            <w:rPr>
              <w:color w:val="231F20"/>
              <w:sz w:val="13"/>
              <w:szCs w:val="13"/>
            </w:r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BB6413">
            <w:rPr>
              <w:b/>
              <w:color w:val="231F20"/>
              <w:sz w:val="13"/>
              <w:szCs w:val="13"/>
            </w:rPr>
            <w:t>Ceny, vyúčtování a platební podmínky</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Cena dodané elektřiny se dohodou smluvních stran sjednává ve Smlouvě v dohodnuté výši nebo ve výši stanovené Ceníkem dodávky elektřiny E.ON Energie, a.s. (dále jen „Ceník“) nebo je ve Smlouvě sjednán jiný způsob jejího určení</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sz w:val="13"/>
              <w:szCs w:val="13"/>
            </w:rPr>
            <w:t>Je-li cena elektřiny sjednána ve výši podle Ceníku, Dodavatel má právo jednostranně Ceník měnit. Oznámení o změně Ceníku zašle Dodavatel Zákazníkovi poštovní zásilkou nebo e-mailem nebo se změnou prokazatelně seznámí Zákazníka jiným dohodnutým způsobem, a to ve lhůtě minimálně 30 dnů před začátkem účinnosti změny Ceníku. Součástí oznámení je nový Ceník nebo odkaz na umístění nového Ceníku na internetových stránkách Dodavatele</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V případě uzavřené Smlouvy o sdružených službách dodávky elektřiny jsou ceny za dopravu elektřiny a související služby účtovány ve výši a rozsahu dle platného cenového rozhodnutí ERÚ</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Dodávka elektřiny nebo sdružené služby dodávky elektřiny se účtují měsíčními fakturami za období, které je vymezeno kalendářním měsícem</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K účtovaným částkám se připočítává daň z elektřiny, daň z přidané hodnoty, případně spotřební daně či jiné nepřímé daně v souladu s platnými právními předpisy</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Na úhradu odebrané ale dosud nevyfakturované elektřiny nebo sdružené služby dodávky elektřiny platí Zákazník Dodavateli zálohy ve výši předpokládané fakturované částky dle způsobu dohodnutého ve Smlouvě</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Pokud je dodávána elektřina s daní z elek</w:t>
          </w:r>
          <w:r>
            <w:rPr>
              <w:color w:val="231F20"/>
              <w:sz w:val="13"/>
              <w:szCs w:val="13"/>
            </w:rPr>
            <w:t>třiny, sjednává se výše záloh s </w:t>
          </w:r>
          <w:r w:rsidRPr="00EF400C">
            <w:rPr>
              <w:color w:val="231F20"/>
              <w:sz w:val="13"/>
              <w:szCs w:val="13"/>
            </w:rPr>
            <w:t>daní z elektřiny bez DPH, zvýšená o příslušnou DPH. Pokud je dodávána elektřina osvobozená od daně z elektřiny, sj</w:t>
          </w:r>
          <w:r>
            <w:rPr>
              <w:color w:val="231F20"/>
              <w:sz w:val="13"/>
              <w:szCs w:val="13"/>
            </w:rPr>
            <w:t>ednává se výše záloh bez daně z </w:t>
          </w:r>
          <w:r w:rsidRPr="00EF400C">
            <w:rPr>
              <w:color w:val="231F20"/>
              <w:sz w:val="13"/>
              <w:szCs w:val="13"/>
            </w:rPr>
            <w:t>elektřiny a bez DPH, zvýšená o příslušnou DPH</w:t>
          </w:r>
          <w:r w:rsidRPr="00BB6413">
            <w:rPr>
              <w:color w:val="231F20"/>
              <w:sz w:val="13"/>
              <w:szCs w:val="13"/>
            </w:rPr>
            <w:t xml:space="preserve">. </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O výši záloh je Zákazník informován na měsíčních fakturách nebo jiným dohodnutým způsobem</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Faktury jsou splatné 14 dnů od data jejich vystavení, není-li ve Smlouvě sjednáno jinak. Zaplacením se rozumí připsání celé fakturované částky na účet Dodavatele</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 xml:space="preserve">Zaplacené zálohy jsou odečteny v měsíčním vyúčtování. Rozdíl mezi zálohou a celkovou vyúčtovanou částkou je vyrovnán na základě vystavené faktury s tím, že doplatek hradí Zákazník v termínu splatnosti tak, aby byl v den </w:t>
          </w:r>
          <w:r w:rsidRPr="00EF400C">
            <w:rPr>
              <w:color w:val="231F20"/>
              <w:sz w:val="13"/>
              <w:szCs w:val="13"/>
            </w:rPr>
            <w:lastRenderedPageBreak/>
            <w:t>splatnosti připsán na účet Dodavatele. Případné přeplatky vrátí Dodavatel Zákazníkovi bezhotovostním převodem na jeho účet v termínu splatnosti faktur</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 xml:space="preserve">V případě prodlení </w:t>
          </w:r>
          <w:r w:rsidRPr="00EF400C">
            <w:rPr>
              <w:sz w:val="13"/>
              <w:szCs w:val="13"/>
            </w:rPr>
            <w:t>s plněním svých peněžitých závazků se smluvní strana, která je</w:t>
          </w:r>
          <w:r w:rsidRPr="00EF400C">
            <w:rPr>
              <w:color w:val="231F20"/>
              <w:sz w:val="13"/>
              <w:szCs w:val="13"/>
            </w:rPr>
            <w:t xml:space="preserve"> </w:t>
          </w:r>
          <w:r w:rsidRPr="00EF400C">
            <w:rPr>
              <w:sz w:val="13"/>
              <w:szCs w:val="13"/>
            </w:rPr>
            <w:t>v prodlení, zavazuje uhra</w:t>
          </w:r>
          <w:r>
            <w:rPr>
              <w:sz w:val="13"/>
              <w:szCs w:val="13"/>
            </w:rPr>
            <w:t>dit druhé smluvní straně úrok z </w:t>
          </w:r>
          <w:r w:rsidRPr="00EF400C">
            <w:rPr>
              <w:sz w:val="13"/>
              <w:szCs w:val="13"/>
            </w:rPr>
            <w:t xml:space="preserve">prodlení ve výši 0,05% z nesplacené částky za každý započatý den prodlení, </w:t>
          </w:r>
          <w:r w:rsidRPr="00EF400C">
            <w:rPr>
              <w:color w:val="231F20"/>
              <w:sz w:val="13"/>
              <w:szCs w:val="13"/>
            </w:rPr>
            <w:t>pokud se smluvní strany ve Smlouvě nedohodnou jinak</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Termín splatnosti úroku z prodlení je 14 dnů od vystavení jeho vyúčtování</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Počet dnů prodlení v případě pozdní úhrady zálohy bude počítán ode dne následujícího po splatnosti předepsané zálohy do data její úhrady, nejdéle však do data splatnosti faktury za období, kterého se záloha týkala</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Všechny platby se provádí bezhotovostně buď inkasem z bankovního účtu Zákazníka, nebo příkazem k úhradě ve prospěch Dodavatele na číslo účtu uvedené na měsíční faktuře. V případě, že faktura nebude obsahovat číslo účtu, je Zákazník povinen provést platbu ve prospěch čísla účtu Dodavatele uvedeného ve Smlouvě. Způsob placení (souhlas k inkasu nebo příkaz k úhradě) je sjednán ve Smlouvě</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V bankovním styku budou používány variabilní symboly uvedené na příslušné faktuře. Konstantní symboly budou používány dle platných bankovních pravidel</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Pokud Zákazník poukáže platbu s nesprávným variabilním symbolem, nebo ji poukáže na jiný bankovní účet Dodavatele, než je uvedeno na faktuře, je Dodavatel oprávněn po zjištění nepřiřaditelnosti platbu vrátit jako neidentifikovatelnou, a to bez zbytečného odkladu po takovém zjištění a účtovat úrok z prodlení za opožděné placení od data splatnosti až do obdržení správně poukázané platby</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Na platby za dodávku elektřiny nebo sdružené služby dodávky elektřiny do více odběrných míst jednoho Zákazníka, která</w:t>
          </w:r>
          <w:r>
            <w:rPr>
              <w:color w:val="231F20"/>
              <w:sz w:val="13"/>
              <w:szCs w:val="13"/>
            </w:rPr>
            <w:t xml:space="preserve"> mají stejná bankovní spojení a </w:t>
          </w:r>
          <w:r w:rsidRPr="00EF400C">
            <w:rPr>
              <w:color w:val="231F20"/>
              <w:sz w:val="13"/>
              <w:szCs w:val="13"/>
            </w:rPr>
            <w:t>způsob úhrady plateb, může vyhotovit dodavatel po dohodě se Zákazníkem sloučenou fakturu</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Adresa pro zasílání daňových dokladů je sjednána ve Smlouvě</w:t>
          </w:r>
          <w:r w:rsidRPr="00BB6413">
            <w:rPr>
              <w:color w:val="231F20"/>
              <w:sz w:val="13"/>
              <w:szCs w:val="13"/>
            </w:rPr>
            <w:t>.</w:t>
          </w:r>
        </w:p>
        <w:p w:rsidR="00FE0136"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 xml:space="preserve">Místem plnění pro peněžité závazky Zákazníka je ve smyslu § </w:t>
          </w:r>
          <w:smartTag w:uri="urn:schemas-microsoft-com:office:smarttags" w:element="metricconverter">
            <w:smartTagPr>
              <w:attr w:name="ProductID" w:val="337 a"/>
            </w:smartTagPr>
            <w:r w:rsidRPr="00EF400C">
              <w:rPr>
                <w:color w:val="231F20"/>
                <w:sz w:val="13"/>
                <w:szCs w:val="13"/>
              </w:rPr>
              <w:t>337 a</w:t>
            </w:r>
          </w:smartTag>
          <w:r w:rsidRPr="00EF400C">
            <w:rPr>
              <w:color w:val="231F20"/>
              <w:sz w:val="13"/>
              <w:szCs w:val="13"/>
            </w:rPr>
            <w:t xml:space="preserve"> 339 zákona č. 513/1991 Sb., ve znění pozdějších předpisů, banka, u níž má Dodavatel zřízený účet, jehož číslo je uvedeno ve Smlouvě nebo na faktuře</w:t>
          </w:r>
          <w:r w:rsidRPr="00FA3DB0">
            <w:rPr>
              <w:color w:val="231F20"/>
              <w:sz w:val="13"/>
              <w:szCs w:val="13"/>
            </w:rPr>
            <w:t>.</w:t>
          </w:r>
        </w:p>
        <w:p w:rsidR="00FE0136" w:rsidRPr="00D646CD"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D646CD">
            <w:rPr>
              <w:sz w:val="13"/>
              <w:szCs w:val="13"/>
            </w:rPr>
            <w:t>V případě, že je na Zákazníka zahájeno insolvenční řízení, stávají se dnem vyhlášení insolvenčního řízení splatnými všechny stávající pohledávky Dodavatele za Zákazníkem.</w:t>
          </w:r>
        </w:p>
        <w:p w:rsidR="00FE0136" w:rsidRPr="00BB6413" w:rsidRDefault="00FE0136" w:rsidP="004D6CA1">
          <w:pPr>
            <w:tabs>
              <w:tab w:val="num" w:pos="360"/>
            </w:tabs>
            <w:autoSpaceDE w:val="0"/>
            <w:autoSpaceDN w:val="0"/>
            <w:adjustRightInd w:val="0"/>
            <w:jc w:val="both"/>
            <w:rPr>
              <w:color w:val="231F20"/>
              <w:sz w:val="13"/>
              <w:szCs w:val="13"/>
            </w:r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EF400C">
            <w:rPr>
              <w:b/>
              <w:color w:val="231F20"/>
              <w:sz w:val="13"/>
              <w:szCs w:val="13"/>
            </w:rPr>
            <w:t>Zánik smlouvy, přerušení nebo ukončení dodávky elektřiny</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Je-li Smlouva uzavřena na dobu určitou, dochází k jejímu zániku uplynutím doby, na kterou byla sjednána</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Je-li Smlouva uzavřena na dobu neurčitou, může ji písemně vypovědět kterákoli ze smluvních stran s výpovědní lhůtou 3 měsíce, nebude-li ve Smlouvě sjednána výpovědní lhůta kratší. Výpovědní lhůta začíná běžet prvním dnem kalendářního měsíce následujícího po doručení písemné výpovědi druhé smluvní straně</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Smlouva může být ukončena dohodou smluvních stran</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Dodavatel je oprávněn ukončit nebo přerušit dodávku elektřiny Zákazníkovi při neoprávněném odběru elektřiny ve smyslu energetického zákona v odběrných místech, pro která je uzavřena Smlouva</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Zákazník má právo odstoupit od Smlouvy v případě neplnění smluvních povinností ze strany Dodavatele nebo v případě nesouhlasu s navrhovanou změnou smluvních podmínek</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Dodavatel má právo odstoupit od Smlouvy v případě neplnění smluvních povinností ze strany Zákazníka, zejména v přípa</w:t>
          </w:r>
          <w:r>
            <w:rPr>
              <w:color w:val="231F20"/>
              <w:sz w:val="13"/>
              <w:szCs w:val="13"/>
            </w:rPr>
            <w:t>dě, že Zákazník je v prodlení s </w:t>
          </w:r>
          <w:r w:rsidRPr="00EF400C">
            <w:rPr>
              <w:color w:val="231F20"/>
              <w:sz w:val="13"/>
              <w:szCs w:val="13"/>
            </w:rPr>
            <w:t>plněním platebních povinností dle Smlouvy nebo při porušení odst. 2.7 těchto OPDE</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Odstoupení od smlouvy musí být učiněno písemně. Odstoupení od Smlouvy podle odstavce 5.5 a 5.6 těchto OPDE je účinné k poslednímu dni kalendářního měsíce, ve kterém bylo doručeno druhé smluvní straně</w:t>
          </w:r>
          <w:r w:rsidRPr="00BB6413">
            <w:rPr>
              <w:color w:val="231F20"/>
              <w:sz w:val="13"/>
              <w:szCs w:val="13"/>
            </w:rPr>
            <w:t>.</w:t>
          </w:r>
        </w:p>
        <w:p w:rsidR="00FE0136" w:rsidRPr="00BB6413" w:rsidRDefault="00FE0136" w:rsidP="004D6CA1">
          <w:pPr>
            <w:tabs>
              <w:tab w:val="num" w:pos="360"/>
            </w:tabs>
            <w:autoSpaceDE w:val="0"/>
            <w:autoSpaceDN w:val="0"/>
            <w:adjustRightInd w:val="0"/>
            <w:jc w:val="both"/>
            <w:rPr>
              <w:color w:val="231F20"/>
              <w:sz w:val="13"/>
              <w:szCs w:val="13"/>
            </w:r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BB6413">
            <w:rPr>
              <w:b/>
              <w:color w:val="231F20"/>
              <w:sz w:val="13"/>
              <w:szCs w:val="13"/>
            </w:rPr>
            <w:t>Předcházení škodám</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Smluvní strany se zavazují navzájem se informovat o všech skutečnostech, kterých jsou si vědomy, jež by moh</w:t>
          </w:r>
          <w:r>
            <w:rPr>
              <w:color w:val="231F20"/>
              <w:sz w:val="13"/>
              <w:szCs w:val="13"/>
            </w:rPr>
            <w:t>ly vést ke škodám, a usilovat o </w:t>
          </w:r>
          <w:r w:rsidRPr="00EF400C">
            <w:rPr>
              <w:color w:val="231F20"/>
              <w:sz w:val="13"/>
              <w:szCs w:val="13"/>
            </w:rPr>
            <w:t>odvrácení hrozících škod</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Smluvní strany jsou zbaveny odpovědnosti za částečné nebo úplné neplnění povinností daných Smlouvou, a to v případech, kdy toto neplnění bylo výsledkem okolností vylučujících odpovědnost ve smyslu § 374 obchodního zákoníku č. 513/1991 Sb., v platném znění nebo za podmínek vyplývajících zejména z platného energetického zákona</w:t>
          </w:r>
          <w:r w:rsidRPr="00BB6413">
            <w:rPr>
              <w:color w:val="231F20"/>
              <w:sz w:val="13"/>
              <w:szCs w:val="13"/>
            </w:rPr>
            <w:t>.</w:t>
          </w:r>
        </w:p>
        <w:p w:rsidR="00FE0136" w:rsidRPr="00BB6413" w:rsidRDefault="00FE0136" w:rsidP="004D6CA1">
          <w:pPr>
            <w:tabs>
              <w:tab w:val="num" w:pos="360"/>
            </w:tabs>
            <w:autoSpaceDE w:val="0"/>
            <w:autoSpaceDN w:val="0"/>
            <w:adjustRightInd w:val="0"/>
            <w:jc w:val="both"/>
            <w:rPr>
              <w:color w:val="231F20"/>
              <w:sz w:val="13"/>
              <w:szCs w:val="13"/>
            </w:rPr>
          </w:pPr>
        </w:p>
        <w:p w:rsidR="00FE0136" w:rsidRPr="00BB6413" w:rsidRDefault="00FE0136" w:rsidP="00FE0136">
          <w:pPr>
            <w:numPr>
              <w:ilvl w:val="0"/>
              <w:numId w:val="1"/>
            </w:numPr>
            <w:tabs>
              <w:tab w:val="clear" w:pos="360"/>
              <w:tab w:val="num" w:pos="284"/>
            </w:tabs>
            <w:autoSpaceDE w:val="0"/>
            <w:autoSpaceDN w:val="0"/>
            <w:adjustRightInd w:val="0"/>
            <w:jc w:val="both"/>
            <w:rPr>
              <w:b/>
              <w:color w:val="231F20"/>
              <w:sz w:val="13"/>
              <w:szCs w:val="13"/>
            </w:rPr>
          </w:pPr>
          <w:r w:rsidRPr="00BB6413">
            <w:rPr>
              <w:b/>
              <w:color w:val="231F20"/>
              <w:sz w:val="13"/>
              <w:szCs w:val="13"/>
            </w:rPr>
            <w:t>Ustanovení přechodná a závěrečná</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 xml:space="preserve">Smluvní strany se vzájemně zavazují, že budou chránit a utajovat před třetími osobami důvěrné informace. Žádná ze smluvních stran bez písemného </w:t>
          </w:r>
          <w:r w:rsidRPr="00EF400C">
            <w:rPr>
              <w:color w:val="231F20"/>
              <w:sz w:val="13"/>
              <w:szCs w:val="13"/>
            </w:rPr>
            <w:lastRenderedPageBreak/>
            <w:t>souhlasu druhé smluvní strany neposkytne informace o obsahu této Smlouvy, s výjimkou veřejně publikovaných informací, a to ani v dílčím rozsahu třetí straně, s výjimkou osob ovládajících a osob ovládaných stejnou ovládající osobou.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w:t>
          </w:r>
          <w:r w:rsidRPr="00BB6413">
            <w:rPr>
              <w:color w:val="231F20"/>
              <w:sz w:val="13"/>
              <w:szCs w:val="13"/>
            </w:rPr>
            <w:t>.</w:t>
          </w:r>
        </w:p>
        <w:p w:rsidR="00FE0136"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Smluvní strany se dohodly, že Dodavatel má právo OPDE jednostranně měnit. Oznámení o změně OPDE zašle Dodavatel Zákazníkovi poštovní zásilkou nebo e-mailem nebo se změnou prokazatelně seznámí Zákazníka jiným dohodnutým způsobem, a to ve lhůtě minimálně 30 dnů před začátkem účinnosti změny OPDE. Součástí oznámení jsou nové OPDE nebo odkaz na umístění nových OPDE na internetových stránkách Dodavatele</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V případě, že Zákazník nesouhlasí s navrhovanou změnou smluvních podmínek či se zvýšením ceny za dodávku elektřiny, má právo od Smlouvy odstoupit nejpozději 10 dnů před nabytím jejich účinnosti, oznámí-li Dodavatel Zákazníkovi zvýšení ceny nebo změnu  OPDE nejpozději do 30 dnů před nabytím účinnosti zvýšení ceny nebo změny OPDE a současně jej poučí o právu odstoupit od Smlouvy, jinak ve lhůtě 3 měsíců od účinnosti zvýšení ceny dodávky elektřiny či změny OPDE</w:t>
          </w:r>
          <w:r>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Právní vztahy smluvních stran se řídí českým právem</w:t>
          </w:r>
          <w:r w:rsidRPr="00BB6413">
            <w:rPr>
              <w:color w:val="231F20"/>
              <w:sz w:val="13"/>
              <w:szCs w:val="13"/>
            </w:rPr>
            <w:t>.</w:t>
          </w:r>
        </w:p>
        <w:p w:rsidR="00FE0136" w:rsidRPr="005E2E55"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Kromě změny smluvních podmínek, provedených dle bodu 4.2 a 7.2 těchto OPDE, může být Smlouva měněna a doplňována pouze písemnými dodatky, podepsanými k tomu oprávněnými zástupci smluvních stran. K návrhu dodatku jsou strany povinny vyjádřit se do 30 dnů od jeho obdržení. Po tutéž dobu je návrhem dodatku vázána strana, která jej odeslala</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BB6413">
            <w:rPr>
              <w:color w:val="231F20"/>
              <w:sz w:val="13"/>
              <w:szCs w:val="13"/>
            </w:rPr>
            <w:t xml:space="preserve">Jakoukoliv korespondenci, oznámení či jiná písemná sdělení učiněná na základě </w:t>
          </w:r>
          <w:r>
            <w:rPr>
              <w:color w:val="231F20"/>
              <w:sz w:val="13"/>
              <w:szCs w:val="13"/>
            </w:rPr>
            <w:t>S</w:t>
          </w:r>
          <w:r w:rsidRPr="00BB6413">
            <w:rPr>
              <w:color w:val="231F20"/>
              <w:sz w:val="13"/>
              <w:szCs w:val="13"/>
            </w:rPr>
            <w:t>mlouvy je možné považovat za řádně doručenou druhé straně, pokud je provedená:</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a)</w:t>
          </w:r>
          <w:smartTag w:uri="urn:schemas-microsoft-com:office:smarttags" w:element="PersonName">
            <w:r w:rsidRPr="00BB6413">
              <w:rPr>
                <w:color w:val="231F20"/>
                <w:sz w:val="13"/>
                <w:szCs w:val="13"/>
              </w:rPr>
              <w:t xml:space="preserve"> </w:t>
            </w:r>
          </w:smartTag>
          <w:r w:rsidRPr="00BB6413">
            <w:rPr>
              <w:color w:val="231F20"/>
              <w:sz w:val="13"/>
              <w:szCs w:val="13"/>
            </w:rPr>
            <w:t>osobním</w:t>
          </w:r>
          <w:smartTag w:uri="urn:schemas-microsoft-com:office:smarttags" w:element="PersonName">
            <w:r w:rsidRPr="00BB6413">
              <w:rPr>
                <w:color w:val="231F20"/>
                <w:sz w:val="13"/>
                <w:szCs w:val="13"/>
              </w:rPr>
              <w:t xml:space="preserve"> </w:t>
            </w:r>
          </w:smartTag>
          <w:r w:rsidRPr="00BB6413">
            <w:rPr>
              <w:color w:val="231F20"/>
              <w:sz w:val="13"/>
              <w:szCs w:val="13"/>
            </w:rPr>
            <w:t>doručením,</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b)</w:t>
          </w:r>
          <w:smartTag w:uri="urn:schemas-microsoft-com:office:smarttags" w:element="PersonName">
            <w:r w:rsidRPr="00BB6413">
              <w:rPr>
                <w:color w:val="231F20"/>
                <w:sz w:val="13"/>
                <w:szCs w:val="13"/>
              </w:rPr>
              <w:t xml:space="preserve"> </w:t>
            </w:r>
          </w:smartTag>
          <w:r w:rsidRPr="00BB6413">
            <w:rPr>
              <w:color w:val="231F20"/>
              <w:sz w:val="13"/>
              <w:szCs w:val="13"/>
            </w:rPr>
            <w:t>prostřednictvím</w:t>
          </w:r>
          <w:smartTag w:uri="urn:schemas-microsoft-com:office:smarttags" w:element="PersonName">
            <w:r w:rsidRPr="00BB6413">
              <w:rPr>
                <w:color w:val="231F20"/>
                <w:sz w:val="13"/>
                <w:szCs w:val="13"/>
              </w:rPr>
              <w:t xml:space="preserve"> </w:t>
            </w:r>
          </w:smartTag>
          <w:r w:rsidRPr="00BB6413">
            <w:rPr>
              <w:color w:val="231F20"/>
              <w:sz w:val="13"/>
              <w:szCs w:val="13"/>
            </w:rPr>
            <w:t>kurýra,</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c)</w:t>
          </w:r>
          <w:smartTag w:uri="urn:schemas-microsoft-com:office:smarttags" w:element="PersonName">
            <w:r w:rsidRPr="00BB6413">
              <w:rPr>
                <w:color w:val="231F20"/>
                <w:sz w:val="13"/>
                <w:szCs w:val="13"/>
              </w:rPr>
              <w:t xml:space="preserve"> </w:t>
            </w:r>
          </w:smartTag>
          <w:r w:rsidRPr="00BB6413">
            <w:rPr>
              <w:color w:val="231F20"/>
              <w:sz w:val="13"/>
              <w:szCs w:val="13"/>
            </w:rPr>
            <w:t>doporučeným</w:t>
          </w:r>
          <w:smartTag w:uri="urn:schemas-microsoft-com:office:smarttags" w:element="PersonName">
            <w:r w:rsidRPr="00BB6413">
              <w:rPr>
                <w:color w:val="231F20"/>
                <w:sz w:val="13"/>
                <w:szCs w:val="13"/>
              </w:rPr>
              <w:t xml:space="preserve"> </w:t>
            </w:r>
          </w:smartTag>
          <w:r w:rsidRPr="00BB6413">
            <w:rPr>
              <w:color w:val="231F20"/>
              <w:sz w:val="13"/>
              <w:szCs w:val="13"/>
            </w:rPr>
            <w:t>dopisem,</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d)</w:t>
          </w:r>
          <w:smartTag w:uri="urn:schemas-microsoft-com:office:smarttags" w:element="PersonName">
            <w:r w:rsidRPr="00BB6413">
              <w:rPr>
                <w:color w:val="231F20"/>
                <w:sz w:val="13"/>
                <w:szCs w:val="13"/>
              </w:rPr>
              <w:t xml:space="preserve"> </w:t>
            </w:r>
          </w:smartTag>
          <w:r w:rsidRPr="00BB6413">
            <w:rPr>
              <w:color w:val="231F20"/>
              <w:sz w:val="13"/>
              <w:szCs w:val="13"/>
            </w:rPr>
            <w:t>dopisem,</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e)</w:t>
          </w:r>
          <w:smartTag w:uri="urn:schemas-microsoft-com:office:smarttags" w:element="PersonName">
            <w:r w:rsidRPr="00BB6413">
              <w:rPr>
                <w:color w:val="231F20"/>
                <w:sz w:val="13"/>
                <w:szCs w:val="13"/>
              </w:rPr>
              <w:t xml:space="preserve"> </w:t>
            </w:r>
          </w:smartTag>
          <w:r w:rsidRPr="00BB6413">
            <w:rPr>
              <w:color w:val="231F20"/>
              <w:sz w:val="13"/>
              <w:szCs w:val="13"/>
            </w:rPr>
            <w:t>faxem</w:t>
          </w:r>
          <w:smartTag w:uri="urn:schemas-microsoft-com:office:smarttags" w:element="PersonName">
            <w:r w:rsidRPr="00BB6413">
              <w:rPr>
                <w:color w:val="231F20"/>
                <w:sz w:val="13"/>
                <w:szCs w:val="13"/>
              </w:rPr>
              <w:t xml:space="preserve"> </w:t>
            </w:r>
          </w:smartTag>
          <w:r w:rsidRPr="00BB6413">
            <w:rPr>
              <w:color w:val="231F20"/>
              <w:sz w:val="13"/>
              <w:szCs w:val="13"/>
            </w:rPr>
            <w:t>se</w:t>
          </w:r>
          <w:smartTag w:uri="urn:schemas-microsoft-com:office:smarttags" w:element="PersonName">
            <w:r w:rsidRPr="00BB6413">
              <w:rPr>
                <w:color w:val="231F20"/>
                <w:sz w:val="13"/>
                <w:szCs w:val="13"/>
              </w:rPr>
              <w:t xml:space="preserve"> </w:t>
            </w:r>
          </w:smartTag>
          <w:r w:rsidRPr="00BB6413">
            <w:rPr>
              <w:color w:val="231F20"/>
              <w:sz w:val="13"/>
              <w:szCs w:val="13"/>
            </w:rPr>
            <w:t>zpětným</w:t>
          </w:r>
          <w:smartTag w:uri="urn:schemas-microsoft-com:office:smarttags" w:element="PersonName">
            <w:r w:rsidRPr="00BB6413">
              <w:rPr>
                <w:color w:val="231F20"/>
                <w:sz w:val="13"/>
                <w:szCs w:val="13"/>
              </w:rPr>
              <w:t xml:space="preserve"> </w:t>
            </w:r>
          </w:smartTag>
          <w:r w:rsidRPr="00BB6413">
            <w:rPr>
              <w:color w:val="231F20"/>
              <w:sz w:val="13"/>
              <w:szCs w:val="13"/>
            </w:rPr>
            <w:t>potvrzením</w:t>
          </w:r>
          <w:smartTag w:uri="urn:schemas-microsoft-com:office:smarttags" w:element="PersonName">
            <w:r w:rsidRPr="00BB6413">
              <w:rPr>
                <w:color w:val="231F20"/>
                <w:sz w:val="13"/>
                <w:szCs w:val="13"/>
              </w:rPr>
              <w:t xml:space="preserve"> </w:t>
            </w:r>
          </w:smartTag>
          <w:r w:rsidRPr="00BB6413">
            <w:rPr>
              <w:color w:val="231F20"/>
              <w:sz w:val="13"/>
              <w:szCs w:val="13"/>
            </w:rPr>
            <w:t>doručení,</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 xml:space="preserve">f) e-mailem, adresovaným </w:t>
          </w:r>
          <w:r>
            <w:rPr>
              <w:color w:val="231F20"/>
              <w:sz w:val="13"/>
              <w:szCs w:val="13"/>
            </w:rPr>
            <w:t>kontaktním osobám, uvedeným ve S</w:t>
          </w:r>
          <w:r w:rsidRPr="00BB6413">
            <w:rPr>
              <w:color w:val="231F20"/>
              <w:sz w:val="13"/>
              <w:szCs w:val="13"/>
            </w:rPr>
            <w:t>mlouvě,</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g) na E.ON Zákaznickém portále.</w:t>
          </w: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Korespondence, oznámení či jiná sdělení, která zakládají, mění nebo ruší práva a</w:t>
          </w:r>
          <w:r>
            <w:rPr>
              <w:color w:val="231F20"/>
              <w:sz w:val="13"/>
              <w:szCs w:val="13"/>
            </w:rPr>
            <w:t xml:space="preserve"> povinnosti smluvních stran ze S</w:t>
          </w:r>
          <w:r w:rsidRPr="00BB6413">
            <w:rPr>
              <w:color w:val="231F20"/>
              <w:sz w:val="13"/>
              <w:szCs w:val="13"/>
            </w:rPr>
            <w:t>mlouvy či OPDE se považují za řádně doručené pouze podle bodů a)</w:t>
          </w:r>
          <w:r>
            <w:rPr>
              <w:color w:val="231F20"/>
              <w:sz w:val="13"/>
              <w:szCs w:val="13"/>
            </w:rPr>
            <w:t xml:space="preserve"> </w:t>
          </w:r>
          <w:r w:rsidRPr="00BB6413">
            <w:rPr>
              <w:color w:val="231F20"/>
              <w:sz w:val="13"/>
              <w:szCs w:val="13"/>
            </w:rPr>
            <w:t>-</w:t>
          </w:r>
          <w:r>
            <w:rPr>
              <w:color w:val="231F20"/>
              <w:sz w:val="13"/>
              <w:szCs w:val="13"/>
            </w:rPr>
            <w:t xml:space="preserve"> d) tohoto odstavce, není-li ve S</w:t>
          </w:r>
          <w:r w:rsidRPr="00BB6413">
            <w:rPr>
              <w:color w:val="231F20"/>
              <w:sz w:val="13"/>
              <w:szCs w:val="13"/>
            </w:rPr>
            <w:t>mlouvě sjednáno jinak.</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smluvní strany uvedenou ve Smlouvě, pokud k jejímu doručení prokazatelně nedojde dříve dle předchozí věty</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Ke dni zániku této Smlouvy zanikají veškerá práva a povinnosti smluvních stran z této Smlouvy vyplývající, s výj</w:t>
          </w:r>
          <w:r>
            <w:rPr>
              <w:color w:val="231F20"/>
              <w:sz w:val="13"/>
              <w:szCs w:val="13"/>
            </w:rPr>
            <w:t>imkou těch závazků obsažených v </w:t>
          </w:r>
          <w:r w:rsidRPr="00EF400C">
            <w:rPr>
              <w:color w:val="231F20"/>
              <w:sz w:val="13"/>
              <w:szCs w:val="13"/>
            </w:rPr>
            <w:t>jejich ustanoveních, z jejichž povahy vyplývá, že mají trvat i nadále</w:t>
          </w:r>
          <w:r w:rsidRPr="00BB6413">
            <w:rPr>
              <w:color w:val="231F20"/>
              <w:sz w:val="13"/>
              <w:szCs w:val="13"/>
            </w:rPr>
            <w:t>.</w:t>
          </w:r>
        </w:p>
        <w:p w:rsidR="00FE0136" w:rsidRPr="00BB6413" w:rsidRDefault="00FE0136" w:rsidP="00FE0136">
          <w:pPr>
            <w:numPr>
              <w:ilvl w:val="1"/>
              <w:numId w:val="1"/>
            </w:numPr>
            <w:tabs>
              <w:tab w:val="clear" w:pos="792"/>
              <w:tab w:val="num" w:pos="284"/>
              <w:tab w:val="left" w:pos="567"/>
            </w:tabs>
            <w:autoSpaceDE w:val="0"/>
            <w:autoSpaceDN w:val="0"/>
            <w:adjustRightInd w:val="0"/>
            <w:ind w:left="0" w:firstLine="0"/>
            <w:jc w:val="both"/>
            <w:rPr>
              <w:color w:val="231F20"/>
              <w:sz w:val="13"/>
              <w:szCs w:val="13"/>
            </w:rPr>
          </w:pPr>
          <w:r w:rsidRPr="00EF400C">
            <w:rPr>
              <w:color w:val="231F20"/>
              <w:sz w:val="13"/>
              <w:szCs w:val="13"/>
            </w:rPr>
            <w:t>Ve smyslu ustanovení § 89a občanského soudního řádu se obě smluvní strany dohodly, že v případě řešení sporů soudní cestou bude místně příslušným soudem Okresní soud v Českých Budějovicích, popř. Krajský soud v Českých Budějovicích</w:t>
          </w:r>
          <w:r w:rsidRPr="00BB6413">
            <w:rPr>
              <w:color w:val="231F20"/>
              <w:sz w:val="13"/>
              <w:szCs w:val="13"/>
            </w:rPr>
            <w:t>.</w:t>
          </w:r>
        </w:p>
        <w:p w:rsidR="00FE0136"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V případě rozporu mezi Smlouvou a těmito OPDE mají přednost ustanovení dohodnutá ve Smlouvě</w:t>
          </w:r>
          <w:r w:rsidRPr="00BB6413">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color w:val="231F20"/>
              <w:sz w:val="13"/>
              <w:szCs w:val="13"/>
            </w:rPr>
          </w:pPr>
          <w:r w:rsidRPr="00EF400C">
            <w:rPr>
              <w:color w:val="231F20"/>
              <w:sz w:val="13"/>
              <w:szCs w:val="13"/>
            </w:rPr>
            <w:t>Je-li nebo stane-li se některé ustanovení Smlouvy neplatné či neúčinné, nedotýká se to ostatních ustanovení, která zůstávají platná a účinná. Smluvní strany se v tomto případě zavazují dohodou nahradit ustanovení neplatné /</w:t>
          </w:r>
          <w:r>
            <w:rPr>
              <w:color w:val="231F20"/>
              <w:sz w:val="13"/>
              <w:szCs w:val="13"/>
            </w:rPr>
            <w:t> </w:t>
          </w:r>
          <w:r w:rsidRPr="00EF400C">
            <w:rPr>
              <w:color w:val="231F20"/>
              <w:sz w:val="13"/>
              <w:szCs w:val="13"/>
            </w:rPr>
            <w:t>neúčinné novým ustanovením platným / účinným, které nejlépe odpovídá původně zamýšlenému ekonomickému účelu ustanovení neplatného / neúčinného. Do té doby platí odpovídající úprava obecně závazných právních předpisů České republiky</w:t>
          </w:r>
          <w:r>
            <w:rPr>
              <w:color w:val="231F20"/>
              <w:sz w:val="13"/>
              <w:szCs w:val="13"/>
            </w:rPr>
            <w:t>.</w:t>
          </w:r>
        </w:p>
        <w:p w:rsidR="00FE0136" w:rsidRPr="00BB6413" w:rsidRDefault="00FE0136" w:rsidP="00FE0136">
          <w:pPr>
            <w:numPr>
              <w:ilvl w:val="1"/>
              <w:numId w:val="1"/>
            </w:numPr>
            <w:tabs>
              <w:tab w:val="clear" w:pos="792"/>
              <w:tab w:val="num" w:pos="360"/>
              <w:tab w:val="left" w:pos="567"/>
            </w:tabs>
            <w:autoSpaceDE w:val="0"/>
            <w:autoSpaceDN w:val="0"/>
            <w:adjustRightInd w:val="0"/>
            <w:ind w:left="0" w:firstLine="0"/>
            <w:jc w:val="both"/>
            <w:rPr>
              <w:sz w:val="13"/>
              <w:szCs w:val="13"/>
            </w:rPr>
          </w:pPr>
          <w:r w:rsidRPr="00BB6413">
            <w:rPr>
              <w:color w:val="231F20"/>
              <w:sz w:val="13"/>
              <w:szCs w:val="13"/>
            </w:rPr>
            <w:t xml:space="preserve">OPDE nabývají účinnosti dnem </w:t>
          </w:r>
          <w:r w:rsidRPr="00BB6413">
            <w:rPr>
              <w:sz w:val="13"/>
              <w:szCs w:val="13"/>
            </w:rPr>
            <w:t>1. ledna</w:t>
          </w:r>
          <w:r w:rsidRPr="00BB6413">
            <w:rPr>
              <w:color w:val="999999"/>
              <w:sz w:val="13"/>
              <w:szCs w:val="13"/>
            </w:rPr>
            <w:t xml:space="preserve"> </w:t>
          </w:r>
          <w:r>
            <w:rPr>
              <w:sz w:val="13"/>
              <w:szCs w:val="13"/>
            </w:rPr>
            <w:t>2012</w:t>
          </w:r>
          <w:r w:rsidRPr="00BB6413">
            <w:rPr>
              <w:sz w:val="13"/>
              <w:szCs w:val="13"/>
            </w:rPr>
            <w:t>.</w:t>
          </w:r>
        </w:p>
        <w:p w:rsidR="00FE0136" w:rsidRPr="00BB6413" w:rsidRDefault="00FE0136" w:rsidP="004D6CA1">
          <w:pPr>
            <w:tabs>
              <w:tab w:val="num" w:pos="360"/>
            </w:tabs>
            <w:jc w:val="both"/>
            <w:rPr>
              <w:sz w:val="13"/>
              <w:szCs w:val="13"/>
            </w:rPr>
          </w:pPr>
        </w:p>
        <w:p w:rsidR="00FE0136" w:rsidRDefault="00FE0136" w:rsidP="004D6CA1">
          <w:pPr>
            <w:tabs>
              <w:tab w:val="num" w:pos="360"/>
            </w:tabs>
            <w:jc w:val="both"/>
            <w:rPr>
              <w:sz w:val="13"/>
              <w:szCs w:val="13"/>
            </w:rPr>
          </w:pPr>
        </w:p>
        <w:p w:rsidR="00FE0136" w:rsidRDefault="00FE0136" w:rsidP="004D6CA1">
          <w:pPr>
            <w:tabs>
              <w:tab w:val="num" w:pos="360"/>
            </w:tabs>
            <w:jc w:val="both"/>
            <w:rPr>
              <w:sz w:val="13"/>
              <w:szCs w:val="13"/>
            </w:rPr>
          </w:pPr>
        </w:p>
        <w:p w:rsidR="00FE0136" w:rsidRPr="00BB6413" w:rsidRDefault="00FE0136" w:rsidP="004D6CA1">
          <w:pPr>
            <w:tabs>
              <w:tab w:val="num" w:pos="360"/>
            </w:tabs>
            <w:jc w:val="both"/>
            <w:rPr>
              <w:sz w:val="13"/>
              <w:szCs w:val="13"/>
            </w:rPr>
          </w:pPr>
        </w:p>
        <w:p w:rsidR="00FE0136" w:rsidRPr="00BB6413" w:rsidRDefault="00FE0136" w:rsidP="004D6CA1">
          <w:pPr>
            <w:tabs>
              <w:tab w:val="num" w:pos="360"/>
            </w:tabs>
            <w:autoSpaceDE w:val="0"/>
            <w:autoSpaceDN w:val="0"/>
            <w:adjustRightInd w:val="0"/>
            <w:jc w:val="both"/>
            <w:rPr>
              <w:color w:val="231F20"/>
              <w:sz w:val="13"/>
              <w:szCs w:val="13"/>
            </w:rPr>
          </w:pPr>
          <w:r w:rsidRPr="00BB6413">
            <w:rPr>
              <w:color w:val="231F20"/>
              <w:sz w:val="13"/>
              <w:szCs w:val="13"/>
            </w:rPr>
            <w:t xml:space="preserve">V Českých Budějovicích </w:t>
          </w:r>
          <w:r>
            <w:rPr>
              <w:sz w:val="13"/>
              <w:szCs w:val="13"/>
            </w:rPr>
            <w:t>dne 4</w:t>
          </w:r>
          <w:r w:rsidRPr="00BB6413">
            <w:rPr>
              <w:sz w:val="13"/>
              <w:szCs w:val="13"/>
            </w:rPr>
            <w:t>. října 20</w:t>
          </w:r>
          <w:r>
            <w:rPr>
              <w:sz w:val="13"/>
              <w:szCs w:val="13"/>
            </w:rPr>
            <w:t>11</w:t>
          </w:r>
        </w:p>
        <w:p w:rsidR="00FE0136" w:rsidRPr="00EF25AD" w:rsidRDefault="00FE0136" w:rsidP="004D6CA1">
          <w:pPr>
            <w:autoSpaceDE w:val="0"/>
            <w:autoSpaceDN w:val="0"/>
            <w:adjustRightInd w:val="0"/>
            <w:rPr>
              <w:b/>
              <w:bCs/>
              <w:sz w:val="28"/>
              <w:szCs w:val="28"/>
            </w:rPr>
            <w:sectPr w:rsidR="00FE0136" w:rsidRPr="00EF25AD" w:rsidSect="00060E19">
              <w:type w:val="continuous"/>
              <w:pgSz w:w="11906" w:h="16838" w:code="9"/>
              <w:pgMar w:top="2268" w:right="1418" w:bottom="1531" w:left="1418" w:header="709" w:footer="1021" w:gutter="0"/>
              <w:cols w:num="2" w:space="708" w:equalWidth="0">
                <w:col w:w="4181" w:space="708"/>
                <w:col w:w="4181"/>
              </w:cols>
              <w:docGrid w:linePitch="360"/>
            </w:sectPr>
          </w:pPr>
          <w:r w:rsidRPr="00BB6413">
            <w:rPr>
              <w:color w:val="231F20"/>
              <w:sz w:val="13"/>
              <w:szCs w:val="13"/>
            </w:rPr>
            <w:t>Ing. Michal Šafář, předseda představenstva E.ON Energie, a.s</w:t>
          </w:r>
          <w:r>
            <w:rPr>
              <w:color w:val="231F20"/>
              <w:sz w:val="13"/>
              <w:szCs w:val="13"/>
            </w:rPr>
            <w:t>.</w:t>
          </w:r>
        </w:p>
      </w:sdtContent>
    </w:sdt>
    <w:p w:rsidR="00FE0136" w:rsidRDefault="00FE0136" w:rsidP="004D6CA1">
      <w:pPr>
        <w:pStyle w:val="Nadpis3"/>
        <w:tabs>
          <w:tab w:val="left" w:pos="-180"/>
        </w:tabs>
        <w:jc w:val="left"/>
        <w:sectPr w:rsidR="00FE0136" w:rsidSect="00EF25AD">
          <w:type w:val="continuous"/>
          <w:pgSz w:w="11906" w:h="16838" w:code="9"/>
          <w:pgMar w:top="3005" w:right="1418" w:bottom="1531" w:left="1418" w:header="709" w:footer="1021" w:gutter="0"/>
          <w:cols w:space="708"/>
          <w:formProt w:val="0"/>
          <w:docGrid w:linePitch="360"/>
        </w:sectPr>
      </w:pPr>
    </w:p>
    <w:p w:rsidR="00FE0136" w:rsidRPr="00ED0802" w:rsidRDefault="00FE0136" w:rsidP="004D6CA1">
      <w:pPr>
        <w:pStyle w:val="Nadpis3"/>
        <w:tabs>
          <w:tab w:val="left" w:pos="-180"/>
        </w:tabs>
        <w:jc w:val="left"/>
      </w:pPr>
    </w:p>
    <w:p w:rsidR="00FE0136" w:rsidRPr="001847E4" w:rsidRDefault="00FE0136" w:rsidP="004D6CA1"/>
    <w:p w:rsidR="00BF113E" w:rsidRDefault="00BF113E"/>
    <w:sectPr w:rsidR="00BF113E" w:rsidSect="0048525C">
      <w:type w:val="continuous"/>
      <w:pgSz w:w="11906" w:h="16838" w:code="9"/>
      <w:pgMar w:top="3005" w:right="1418" w:bottom="1531" w:left="1418" w:header="709" w:footer="1021"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30B13"/>
    <w:multiLevelType w:val="multilevel"/>
    <w:tmpl w:val="969C5B86"/>
    <w:lvl w:ilvl="0">
      <w:start w:val="1"/>
      <w:numFmt w:val="decimal"/>
      <w:lvlText w:val="%1."/>
      <w:lvlJc w:val="left"/>
      <w:pPr>
        <w:tabs>
          <w:tab w:val="num" w:pos="360"/>
        </w:tabs>
        <w:ind w:left="794" w:hanging="794"/>
      </w:pPr>
      <w:rPr>
        <w:rFonts w:hint="default"/>
      </w:rPr>
    </w:lvl>
    <w:lvl w:ilvl="1">
      <w:start w:val="1"/>
      <w:numFmt w:val="decimal"/>
      <w:lvlText w:val="%1.%2."/>
      <w:lvlJc w:val="left"/>
      <w:pPr>
        <w:tabs>
          <w:tab w:val="num" w:pos="792"/>
        </w:tabs>
        <w:ind w:left="567" w:hanging="567"/>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36"/>
    <w:rsid w:val="001D4AEF"/>
    <w:rsid w:val="002B5FBF"/>
    <w:rsid w:val="005B1277"/>
    <w:rsid w:val="00BF113E"/>
    <w:rsid w:val="00FE0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136"/>
    <w:pPr>
      <w:spacing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E0136"/>
    <w:pPr>
      <w:keepNext/>
      <w:jc w:val="center"/>
      <w:outlineLvl w:val="2"/>
    </w:pPr>
    <w:rPr>
      <w:rFonts w:ascii="Tahoma" w:hAnsi="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E0136"/>
    <w:rPr>
      <w:rFonts w:ascii="Tahoma" w:eastAsia="Times New Roman" w:hAnsi="Tahoma" w:cs="Times New Roman"/>
      <w:b/>
      <w:sz w:val="20"/>
      <w:szCs w:val="20"/>
      <w:lang w:eastAsia="cs-CZ"/>
    </w:rPr>
  </w:style>
  <w:style w:type="paragraph" w:styleId="Textbubliny">
    <w:name w:val="Balloon Text"/>
    <w:basedOn w:val="Normln"/>
    <w:link w:val="TextbublinyChar"/>
    <w:uiPriority w:val="99"/>
    <w:semiHidden/>
    <w:unhideWhenUsed/>
    <w:rsid w:val="00FE0136"/>
    <w:rPr>
      <w:rFonts w:ascii="Tahoma" w:hAnsi="Tahoma" w:cs="Tahoma"/>
      <w:sz w:val="16"/>
      <w:szCs w:val="16"/>
    </w:rPr>
  </w:style>
  <w:style w:type="character" w:customStyle="1" w:styleId="TextbublinyChar">
    <w:name w:val="Text bubliny Char"/>
    <w:basedOn w:val="Standardnpsmoodstavce"/>
    <w:link w:val="Textbubliny"/>
    <w:uiPriority w:val="99"/>
    <w:semiHidden/>
    <w:rsid w:val="00FE013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136"/>
    <w:pPr>
      <w:spacing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E0136"/>
    <w:pPr>
      <w:keepNext/>
      <w:jc w:val="center"/>
      <w:outlineLvl w:val="2"/>
    </w:pPr>
    <w:rPr>
      <w:rFonts w:ascii="Tahoma" w:hAnsi="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E0136"/>
    <w:rPr>
      <w:rFonts w:ascii="Tahoma" w:eastAsia="Times New Roman" w:hAnsi="Tahoma" w:cs="Times New Roman"/>
      <w:b/>
      <w:sz w:val="20"/>
      <w:szCs w:val="20"/>
      <w:lang w:eastAsia="cs-CZ"/>
    </w:rPr>
  </w:style>
  <w:style w:type="paragraph" w:styleId="Textbubliny">
    <w:name w:val="Balloon Text"/>
    <w:basedOn w:val="Normln"/>
    <w:link w:val="TextbublinyChar"/>
    <w:uiPriority w:val="99"/>
    <w:semiHidden/>
    <w:unhideWhenUsed/>
    <w:rsid w:val="00FE0136"/>
    <w:rPr>
      <w:rFonts w:ascii="Tahoma" w:hAnsi="Tahoma" w:cs="Tahoma"/>
      <w:sz w:val="16"/>
      <w:szCs w:val="16"/>
    </w:rPr>
  </w:style>
  <w:style w:type="character" w:customStyle="1" w:styleId="TextbublinyChar">
    <w:name w:val="Text bubliny Char"/>
    <w:basedOn w:val="Standardnpsmoodstavce"/>
    <w:link w:val="Textbubliny"/>
    <w:uiPriority w:val="99"/>
    <w:semiHidden/>
    <w:rsid w:val="00FE013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DC21AD6BB4E6A99D874BF10D858C8"/>
        <w:category>
          <w:name w:val="Obecné"/>
          <w:gallery w:val="placeholder"/>
        </w:category>
        <w:types>
          <w:type w:val="bbPlcHdr"/>
        </w:types>
        <w:behaviors>
          <w:behavior w:val="content"/>
        </w:behaviors>
        <w:guid w:val="{77BCE75B-7A43-4246-AB1B-DA6503FBA530}"/>
      </w:docPartPr>
      <w:docPartBody>
        <w:p w:rsidR="00000000" w:rsidRDefault="00487F2C" w:rsidP="00487F2C">
          <w:pPr>
            <w:pStyle w:val="B04DC21AD6BB4E6A99D874BF10D858C8"/>
          </w:pPr>
          <w:r w:rsidRPr="000E15F9">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2C"/>
    <w:rsid w:val="0048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7F2C"/>
    <w:rPr>
      <w:color w:val="808080"/>
    </w:rPr>
  </w:style>
  <w:style w:type="paragraph" w:customStyle="1" w:styleId="B04DC21AD6BB4E6A99D874BF10D858C8">
    <w:name w:val="B04DC21AD6BB4E6A99D874BF10D858C8"/>
    <w:rsid w:val="00487F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7F2C"/>
    <w:rPr>
      <w:color w:val="808080"/>
    </w:rPr>
  </w:style>
  <w:style w:type="paragraph" w:customStyle="1" w:styleId="B04DC21AD6BB4E6A99D874BF10D858C8">
    <w:name w:val="B04DC21AD6BB4E6A99D874BF10D858C8"/>
    <w:rsid w:val="00487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2743</Words>
  <Characters>16187</Characters>
  <Application>Microsoft Office Word</Application>
  <DocSecurity>0</DocSecurity>
  <Lines>134</Lines>
  <Paragraphs>37</Paragraphs>
  <ScaleCrop>false</ScaleCrop>
  <Company>HP</Company>
  <LinksUpToDate>false</LinksUpToDate>
  <CharactersWithSpaces>18893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Krejčí</dc:creator>
  <cp:lastModifiedBy>Kristina Krejčí</cp:lastModifiedBy>
  <cp:revision>1</cp:revision>
  <dcterms:created xsi:type="dcterms:W3CDTF">2017-01-02T11:34:00Z</dcterms:created>
  <dcterms:modified xsi:type="dcterms:W3CDTF">2017-01-02T11:40:00Z</dcterms:modified>
</cp:coreProperties>
</file>