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90" w:h="250" w:wrap="none" w:hAnchor="page" w:x="134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Krajská správa a údržba</w:t>
      </w:r>
    </w:p>
    <w:p>
      <w:pPr>
        <w:pStyle w:val="Style2"/>
        <w:keepNext w:val="0"/>
        <w:keepLines w:val="0"/>
        <w:framePr w:w="1478" w:h="389" w:wrap="none" w:hAnchor="page" w:x="1349" w:y="207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widowControl w:val="0"/>
        <w:spacing w:after="594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1795145</wp:posOffset>
            </wp:positionH>
            <wp:positionV relativeFrom="margin">
              <wp:posOffset>182880</wp:posOffset>
            </wp:positionV>
            <wp:extent cx="560705" cy="1765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70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97" w:left="1324" w:right="1398" w:bottom="1764" w:header="169" w:footer="133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č.1 ke smlouvě o dílo „Položení obrusné vrstvy na účelových komunikacích do</w:t>
        <w:br/>
        <w:t>vyříznutých ploch v areálu ČOV Havlíčkův Brod“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KSUSV-074/2019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1930"/>
        <w:gridCol w:w="6629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7834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pověřený jednat jménem zhotovitele ve věcech technických:</w:t>
        <w:tab/>
        <w:t>vedoucí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výrobního oddělení Havlíčkův Brod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při vlastním provádění stavebních prací včetně jejich předání a převzetí: vedoucí výrobního oddělení Havlíčkův Brod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0"/>
        <w:gridCol w:w="6629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 - pobočka Jihlava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0"/>
        <w:gridCol w:w="6629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Fax: 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0"/>
        <w:gridCol w:w="6629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na straně jedné dále jen zhotovitel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48"/>
        <w:gridCol w:w="4800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Vodovody a kanalizace Havlíčkův Brod, a.s.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Žižkova 832, 580 01 Havlíčkův Brod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 Janem Kadlecem ředitelem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ve věcech technických: Osoba odpovědná jednat jménem objednatele při předání a převzetí prací:</w:t>
      </w:r>
    </w:p>
    <w:tbl>
      <w:tblPr>
        <w:tblOverlap w:val="never"/>
        <w:jc w:val="left"/>
        <w:tblLayout w:type="fixed"/>
      </w:tblPr>
      <w:tblGrid>
        <w:gridCol w:w="1848"/>
        <w:gridCol w:w="4800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 Havlíčkův Brod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48"/>
        <w:gridCol w:w="4800"/>
      </w:tblGrid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48173002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CZ48173002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E-mail: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objednatel)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uzavřeli v souladu s článkem 14. Odst. 14.1. shora uvedené smlouvy, tento dodatek ke smlouvě o dílo: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Položení obrusné vrstvy na účelových komunikacích do vyříznutých ploch v areálu ČOV Havlíčkův Brod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podpisem tohoto dodatku se čl. 4 smlouvy Cena díla a platební podmínky mění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se jeho rozšířením o vícepráce mění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Celkový finanční objem díla podle čl. 4 odst. 1. smlouvy o dílo činí: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334" w:val="left"/>
        </w:tabs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bez DPH</w:t>
        <w:tab/>
        <w:t>329 250, - Kč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334" w:val="left"/>
        </w:tabs>
        <w:bidi w:val="0"/>
        <w:spacing w:before="0" w:after="22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(21%)</w:t>
        <w:tab/>
        <w:t>69 142,50 Kč</w:t>
      </w:r>
    </w:p>
    <w:p>
      <w:pPr>
        <w:widowControl w:val="0"/>
        <w:spacing w:after="338" w:line="1" w:lineRule="exact"/>
      </w:pPr>
      <w: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44450</wp:posOffset>
                </wp:positionV>
                <wp:extent cx="1222375" cy="17081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 s DPH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7.5pt;margin-top:3.5pt;width:96.25pt;height:13.449999999999999pt;z-index:-18874406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s DPH</w:t>
                      </w:r>
                      <w:bookmarkEnd w:id="0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38100</wp:posOffset>
                </wp:positionV>
                <wp:extent cx="871855" cy="17081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398 392,50 Kč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2.94999999999999pt;margin-top:3.pt;width:68.650000000000006pt;height:13.449999999999999pt;z-index:-18874406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398 392,50 Kč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Krajská správa a údržba silnic Vysočiny </w:t>
      </w:r>
      <w:r>
        <w:rPr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0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dle SOD: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329 250,- Kč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Vícepráce (navýšení ceny díla): 85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429,40 Kč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0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414 679,40 Kč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0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(21%)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87 082,67 Kč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SOD + Dodatek č.1 501 762,07 Kč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jsou specifikovány v upravené cenové nabídce.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nezměněny.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navýšení ceny díla došlo z důvodu požadavku objednatele na provedení prací nad rámec původní výměry opravované plochy.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3 stejnopisech, z nichž každý má právní sílu originálu. Dva obdrží po podpisu smlouvy zhotovitel a jeden objednatel.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strany prohlašují, že obsah tohoto dodatku je v plném souladu s jejich vůlí a na důkaz tohoto připojují své podpisy.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Platnosti i účinnosti tento dodatek nabývá podpisem oběma smluvními stranami.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20" w:firstLine="0"/>
        <w:jc w:val="right"/>
      </w:pPr>
      <w:r>
        <mc:AlternateContent>
          <mc:Choice Requires="wps">
            <w:drawing>
              <wp:anchor distT="0" distB="0" distL="114300" distR="1068070" simplePos="0" relativeHeight="12582937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12700</wp:posOffset>
                </wp:positionV>
                <wp:extent cx="1420495" cy="47561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Havlíčkově Brodě dne: Objednatel: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.650000000000006pt;margin-top:1.pt;width:111.84999999999999pt;height:37.450000000000003pt;z-index:-125829375;mso-wrap-distance-left:9.pt;mso-wrap-distance-right:84.09999999999999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Havlíčkově Brodě dne: 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18745" distB="137160" distL="1708150" distR="114300" simplePos="0" relativeHeight="125829380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131445</wp:posOffset>
                </wp:positionV>
                <wp:extent cx="780415" cy="21971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02. 10. 2019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94.15000000000001pt;margin-top:10.35pt;width:61.450000000000003pt;height:17.300000000000001pt;z-index:-125829373;mso-wrap-distance-left:134.5pt;mso-wrap-distance-top:9.3499999999999996pt;mso-wrap-distance-right:9.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02. 10. 2019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Jihlavě, dne: Qj jp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5" w:left="1344" w:right="1378" w:bottom="2214" w:header="327" w:footer="178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0" w:right="0" w:bottom="766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 Jan Kadlec, ředitel společnosti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1407" w:right="1383" w:bottom="766" w:header="0" w:footer="3" w:gutter="0"/>
          <w:cols w:num="2" w:space="720" w:equalWidth="0">
            <w:col w:w="3082" w:space="2539"/>
            <w:col w:w="349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1407" w:right="1383" w:bottom="766" w:header="0" w:footer="3" w:gutter="0"/>
          <w:cols w:num="2" w:space="720" w:equalWidth="0">
            <w:col w:w="3082" w:space="2539"/>
            <w:col w:w="3490"/>
          </w:cols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rFonts w:ascii="Candara" w:eastAsia="Candara" w:hAnsi="Candara" w:cs="Candara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Cenová nabídka na položení obrusné vrstvy na účelových komunikacích v areálu ČOV Havlíčkův Brod - upravená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5600" w:right="0" w:firstLine="0"/>
        <w:jc w:val="left"/>
        <w:rPr>
          <w:sz w:val="12"/>
          <w:szCs w:val="12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114300</wp:posOffset>
                </wp:positionV>
                <wp:extent cx="3444240" cy="1765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424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Objednatel: VaK Havlíčkův Brod a.s., Žižkova 832, 580 01 Havlíčkův Brod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.5499999999999998pt;margin-top:9.pt;width:271.19999999999999pt;height:13.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Objednatel: VaK Havlíčkův Brod a.s., Žižkova 832, 580 01 Havlíčkův Brod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Krajská správa údržba silnic Vysočiny </w:t>
      </w:r>
      <w:r>
        <w:rPr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organlzaco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Zhotovitel: Krajská správa a údržba silnic Vysočiny, procoviště Havlíčkův Brod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2420" w:right="0" w:firstLine="0"/>
        <w:jc w:val="left"/>
        <w:rPr>
          <w:sz w:val="15"/>
          <w:szCs w:val="15"/>
        </w:rPr>
      </w:pPr>
      <w:r>
        <w:rPr>
          <w:rFonts w:ascii="Verdana" w:eastAsia="Verdana" w:hAnsi="Verdana" w:cs="Verdana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Příloha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Vypracoval:</w:t>
      </w:r>
    </w:p>
    <w:tbl>
      <w:tblPr>
        <w:tblOverlap w:val="never"/>
        <w:jc w:val="left"/>
        <w:tblLayout w:type="fixed"/>
      </w:tblPr>
      <w:tblGrid>
        <w:gridCol w:w="595"/>
        <w:gridCol w:w="3269"/>
        <w:gridCol w:w="3062"/>
        <w:gridCol w:w="3187"/>
        <w:gridCol w:w="1157"/>
        <w:gridCol w:w="970"/>
        <w:gridCol w:w="3005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Poř. č.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 jednotka Počet jednotek 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45" w:h="835" w:vSpace="576" w:wrap="notBeside" w:vAnchor="text" w:hAnchor="text" w:x="2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45" w:h="835" w:vSpace="576" w:wrap="notBeside" w:vAnchor="text" w:hAnchor="text" w:x="2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5245" w:h="835" w:vSpace="576" w:wrap="notBeside" w:vAnchor="text" w:hAnchor="text" w:x="277" w:y="1"/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5245" w:h="835" w:vSpace="576" w:wrap="notBeside" w:vAnchor="text" w:hAnchor="text" w:x="277" w:y="1"/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5245" w:h="835" w:vSpace="576" w:wrap="notBeside" w:vAnchor="text" w:hAnchor="text" w:x="277" w:y="1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tabs>
                <w:tab w:pos="1613" w:val="left"/>
              </w:tabs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DPH 21%</w:t>
              <w:tab/>
              <w:t>Celkem s 21% DPH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 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tabs>
                <w:tab w:pos="2543" w:val="left"/>
              </w:tabs>
              <w:bidi w:val="0"/>
              <w:spacing w:before="0" w:after="0" w:line="240" w:lineRule="auto"/>
              <w:ind w:left="16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</w:t>
              <w:tab/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tabs>
                <w:tab w:pos="634" w:val="left"/>
                <w:tab w:pos="142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</w:t>
              <w:tab/>
              <w:t>:</w:t>
              <w:tab/>
              <w:t>9</w:t>
            </w:r>
          </w:p>
        </w:tc>
      </w:tr>
      <w:tr>
        <w:trPr>
          <w:trHeight w:val="259" w:hRule="exact"/>
        </w:trPr>
        <w:tc>
          <w:tcPr>
            <w:gridSpan w:val="7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45" w:h="835" w:vSpace="576" w:wrap="notBeside" w:vAnchor="text" w:hAnchor="text" w:x="277" w:y="1"/>
              <w:widowControl w:val="0"/>
              <w:shd w:val="clear" w:color="auto" w:fill="auto"/>
              <w:tabs>
                <w:tab w:pos="1882" w:val="left"/>
                <w:tab w:pos="8194" w:val="left"/>
                <w:tab w:pos="1233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číslo a název rozpočtu: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SO01 -Komunikace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III</w:t>
              <w:tab/>
              <w:t>I</w:t>
            </w:r>
          </w:p>
        </w:tc>
      </w:tr>
    </w:tbl>
    <w:p>
      <w:pPr>
        <w:pStyle w:val="Style12"/>
        <w:keepNext w:val="0"/>
        <w:keepLines w:val="0"/>
        <w:framePr w:w="125" w:h="197" w:hSpace="276" w:wrap="notBeside" w:vAnchor="text" w:hAnchor="text" w:x="1434" w:y="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5</w:t>
      </w:r>
    </w:p>
    <w:p>
      <w:pPr>
        <w:pStyle w:val="Style12"/>
        <w:keepNext w:val="0"/>
        <w:keepLines w:val="0"/>
        <w:framePr w:w="96" w:h="211" w:hSpace="276" w:wrap="notBeside" w:vAnchor="text" w:hAnchor="text" w:x="885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</w:t>
      </w:r>
    </w:p>
    <w:p>
      <w:pPr>
        <w:pStyle w:val="Style12"/>
        <w:keepNext w:val="0"/>
        <w:keepLines w:val="0"/>
        <w:framePr w:w="792" w:h="211" w:hSpace="276" w:wrap="notBeside" w:vAnchor="text" w:hAnchor="text" w:x="14720" w:y="10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501 762,07</w:t>
      </w:r>
    </w:p>
    <w:p>
      <w:pPr>
        <w:pStyle w:val="Style12"/>
        <w:keepNext w:val="0"/>
        <w:keepLines w:val="0"/>
        <w:framePr w:w="5131" w:h="658" w:hSpace="276" w:wrap="notBeside" w:vAnchor="text" w:hAnchor="text" w:x="647" w:y="755"/>
        <w:widowControl w:val="0"/>
        <w:shd w:val="clear" w:color="auto" w:fill="auto"/>
        <w:tabs>
          <w:tab w:leader="underscore" w:pos="1603" w:val="left"/>
          <w:tab w:leader="underscore" w:pos="2486" w:val="left"/>
          <w:tab w:leader="underscore" w:pos="3326" w:val="left"/>
        </w:tabs>
        <w:bidi w:val="0"/>
        <w:spacing w:before="0" w:after="0" w:line="240" w:lineRule="auto"/>
        <w:ind w:left="0" w:right="200" w:firstLine="0"/>
        <w:jc w:val="right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Komunikace </w:t>
        <w:tab/>
        <w:t xml:space="preserve"> </w:t>
        <w:tab/>
        <w:tab/>
      </w:r>
    </w:p>
    <w:p>
      <w:pPr>
        <w:pStyle w:val="Style12"/>
        <w:keepNext w:val="0"/>
        <w:keepLines w:val="0"/>
        <w:framePr w:w="5131" w:h="658" w:hSpace="276" w:wrap="notBeside" w:vAnchor="text" w:hAnchor="text" w:x="647" w:y="75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^Asfaltový beton ABS (ACO 11) II tl 50 mm š nad 3 m</w:t>
      </w:r>
    </w:p>
    <w:p>
      <w:pPr>
        <w:pStyle w:val="Style12"/>
        <w:keepNext w:val="0"/>
        <w:keepLines w:val="0"/>
        <w:framePr w:w="5131" w:h="658" w:hSpace="276" w:wrap="notBeside" w:vAnchor="text" w:hAnchor="text" w:x="647" w:y="755"/>
        <w:widowControl w:val="0"/>
        <w:shd w:val="clear" w:color="auto" w:fill="auto"/>
        <w:tabs>
          <w:tab w:pos="384" w:val="left"/>
          <w:tab w:leader="underscore" w:pos="4853" w:val="left"/>
        </w:tabs>
        <w:bidi w:val="0"/>
        <w:spacing w:before="0" w:after="0" w:line="240" w:lineRule="auto"/>
        <w:ind w:left="0" w:right="20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cs-CZ" w:eastAsia="cs-CZ" w:bidi="cs-CZ"/>
        </w:rPr>
        <w:t>5</w:t>
        <w:tab/>
        <w:t>57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vertAlign w:val="superscript"/>
          <w:lang w:val="cs-CZ" w:eastAsia="cs-CZ" w:bidi="cs-CZ"/>
        </w:rPr>
        <w:t>7 134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cs-CZ" w:eastAsia="cs-CZ" w:bidi="cs-CZ"/>
        </w:rPr>
        <w:t>21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 ^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cs-CZ" w:eastAsia="cs-CZ" w:bidi="cs-CZ"/>
        </w:rPr>
        <w:t>brus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ná 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cs-CZ" w:eastAsia="cs-CZ" w:bidi="cs-CZ"/>
        </w:rPr>
        <w:t>vrtsv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 A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cs-CZ" w:eastAsia="cs-CZ" w:bidi="cs-CZ"/>
        </w:rPr>
        <w:t>CO 1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1 tl. 50mm </w:t>
        <w:tab/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80" w:right="0" w:firstLine="0"/>
        <w:jc w:val="left"/>
        <w:rPr>
          <w:sz w:val="18"/>
          <w:szCs w:val="18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583" w:left="151" w:right="892" w:bottom="6916" w:header="15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9273540</wp:posOffset>
                </wp:positionH>
                <wp:positionV relativeFrom="paragraph">
                  <wp:posOffset>12700</wp:posOffset>
                </wp:positionV>
                <wp:extent cx="499745" cy="16446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501 762,07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0.20000000000005pt;margin-top:1.pt;width:39.350000000000001pt;height:12.9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501 762,07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414 679,40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83" w:left="0" w:right="0" w:bottom="70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883" w:h="451" w:wrap="none" w:vAnchor="text" w:hAnchor="page" w:x="694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Dne:</w:t>
      </w:r>
    </w:p>
    <w:p>
      <w:pPr>
        <w:pStyle w:val="Style2"/>
        <w:keepNext w:val="0"/>
        <w:keepLines w:val="0"/>
        <w:framePr w:w="883" w:h="451" w:wrap="none" w:vAnchor="text" w:hAnchor="page" w:x="69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Vypracoval:</w:t>
      </w:r>
    </w:p>
    <w:p>
      <w:pPr>
        <w:pStyle w:val="Style2"/>
        <w:keepNext w:val="0"/>
        <w:keepLines w:val="0"/>
        <w:framePr w:w="715" w:h="211" w:wrap="none" w:vAnchor="text" w:hAnchor="page" w:x="20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1.10.2019</w:t>
      </w: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583" w:left="151" w:right="892" w:bottom="700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3043555</wp:posOffset>
              </wp:positionV>
              <wp:extent cx="1231265" cy="7302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126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Souhlas s cenovou nabídkou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10.35000000000002pt;margin-top:239.65000000000001pt;width:96.950000000000003pt;height:5.7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Souhlas s cenovou nabídkou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1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