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k SMLOUVĚ O DÍLO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</w:r>
      <w:bookmarkEnd w:id="0"/>
      <w:bookmarkEnd w:id="1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 III/l 5215, III/l 5216 Pálovice průtah“</w:t>
      </w:r>
      <w:bookmarkEnd w:id="2"/>
      <w:bookmarkEnd w:id="3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338/2018-K.SÚSV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tbl>
      <w:tblPr>
        <w:tblpPr w:leftFromText="24" w:rightFromText="0" w:topFromText="250" w:bottomFromText="0" w:horzAnchor="page" w:tblpX="1314" w:vertAnchor="text" w:tblpY="4350"/>
        <w:jc w:val="left"/>
        <w:tblLayout w:type="fixed"/>
      </w:tblPr>
      <w:tblGrid>
        <w:gridCol w:w="1800"/>
        <w:gridCol w:w="6552"/>
      </w:tblGrid>
      <w:tr>
        <w:trPr>
          <w:tblHeader/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2603500</wp:posOffset>
                </wp:positionV>
                <wp:extent cx="655320" cy="186055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5pt;margin-top:205.pt;width:51.600000000000001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3276600</wp:posOffset>
                </wp:positionV>
                <wp:extent cx="2142490" cy="8502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2490" cy="850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9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4.25pt;margin-top:258.pt;width:168.69999999999999pt;height:66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23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1800"/>
        <w:gridCol w:w="6557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00"/>
        <w:gridCol w:w="6552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352" w:h="1046" w:hSpace="29" w:vSpace="298" w:wrap="notBeside" w:vAnchor="text" w:hAnchor="text" w:x="30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352" w:h="1046" w:hSpace="29" w:vSpace="298" w:wrap="notBeside" w:vAnchor="text" w:hAnchor="text" w:x="30" w:y="299"/>
              <w:widowControl w:val="0"/>
              <w:shd w:val="clear" w:color="auto" w:fill="auto"/>
              <w:tabs>
                <w:tab w:pos="158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</w:t>
              <w:tab/>
              <w:t>e-mail: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52" w:h="1046" w:hSpace="29" w:vSpace="298" w:wrap="notBeside" w:vAnchor="text" w:hAnchor="text" w:x="30" w:y="299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  <w:p>
            <w:pPr>
              <w:pStyle w:val="Style2"/>
              <w:keepNext w:val="0"/>
              <w:keepLines w:val="0"/>
              <w:framePr w:w="8352" w:h="1046" w:hSpace="29" w:vSpace="298" w:wrap="notBeside" w:vAnchor="text" w:hAnchor="text" w:x="30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52" w:h="1046" w:hSpace="29" w:vSpace="298" w:wrap="notBeside" w:vAnchor="text" w:hAnchor="text" w:x="30" w:y="299"/>
              <w:widowControl w:val="0"/>
              <w:shd w:val="clear" w:color="auto" w:fill="auto"/>
              <w:tabs>
                <w:tab w:pos="149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</w:t>
              <w:tab/>
              <w:t>, e-mail</w:t>
            </w:r>
          </w:p>
          <w:p>
            <w:pPr>
              <w:pStyle w:val="Style2"/>
              <w:keepNext w:val="0"/>
              <w:keepLines w:val="0"/>
              <w:framePr w:w="8352" w:h="1046" w:hSpace="29" w:vSpace="298" w:wrap="notBeside" w:vAnchor="text" w:hAnchor="text" w:x="30" w:y="299"/>
              <w:widowControl w:val="0"/>
              <w:shd w:val="clear" w:color="auto" w:fill="auto"/>
              <w:tabs>
                <w:tab w:pos="161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tel.:'</w:t>
              <w:tab/>
              <w:t>, e-mail:</w:t>
            </w:r>
          </w:p>
          <w:p>
            <w:pPr>
              <w:pStyle w:val="Style2"/>
              <w:keepNext w:val="0"/>
              <w:keepLines w:val="0"/>
              <w:framePr w:w="8352" w:h="1046" w:hSpace="29" w:vSpace="298" w:wrap="notBeside" w:vAnchor="text" w:hAnchor="text" w:x="30" w:y="2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4"/>
        <w:keepNext w:val="0"/>
        <w:keepLines w:val="0"/>
        <w:framePr w:w="4978" w:h="307" w:hSpace="4804" w:wrap="notBeside" w:vAnchor="text" w:hAnchor="text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after="99" w:line="1" w:lineRule="exact"/>
      </w:pPr>
    </w:p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1800"/>
        <w:gridCol w:w="7632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VIP A project s.r.o., Projektování dopravních staveb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Cyrilometodějská 43/20, Nové Dvory, 674 01 Třebíč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Pavel Vidlák</w:t>
            </w:r>
          </w:p>
        </w:tc>
      </w:tr>
      <w:tr>
        <w:trPr>
          <w:trHeight w:val="7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 v: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živnostenském rejstříku města Třebíč, dne 7.12.2015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Společnost je zapsána v obchodním rejstříku vedeném u Krajského soudu v Brně, oddíl C, vložka 91136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Osoby pověřené jednat iménem zhotovitele ve věcech smluvních: technických: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00"/>
        <w:gridCol w:w="7627"/>
      </w:tblGrid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04637470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CZ04637470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Telefon: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„Zhotovitel“)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„Smluvnístrana“)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2 z důvodu změny rozsahu projektové dokumentace a její nové inženýrské činnosti u křiž. 41019 a 15216.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výše uvedené dochází ke změně termínu tímto způsobem: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akce: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III/15215, III/15216 Pálovice průtah - část 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- Technické podmínky PD, a to vždy v příslušné jejich části Lhůty plnění:</w:t>
      </w:r>
    </w:p>
    <w:tbl>
      <w:tblPr>
        <w:tblOverlap w:val="never"/>
        <w:jc w:val="center"/>
        <w:tblLayout w:type="fixed"/>
      </w:tblPr>
      <w:tblGrid>
        <w:gridCol w:w="4949"/>
        <w:gridCol w:w="3754"/>
      </w:tblGrid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včetně projednání s dotčenými orgány státní správy a samosprávy - předat do: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18. 9. 2019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ruší a nahrazuje novým zněním:</w:t>
            </w:r>
          </w:p>
        </w:tc>
      </w:tr>
      <w:tr>
        <w:trPr>
          <w:trHeight w:val="10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včetně projednání s dotčenými orgány státní správy a samosprávy - předat do: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20 dnů od získání posledního vyjádření dotčených orgánů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after="46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ve znění platných dodatků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nedílnou součástí Smlouvy o dílo č. objednatele 338/2018 - KSÚSV uzavřené dne 29. 11. 2018 podle ustanovení § 2586 a násl. OZ a dále Obchodními podmínkami zadavatele pro veřejné zakázky na vypracování projektových dokumentací dle § 37 odst. 1 písm. c)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TZVL,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vydanými dle § 1751 a násl. OZ.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1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ve čtyřech stejnopisech, z nichž dva výtisky obdrží objednatel a dva zhotovitel.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1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2 nabývá platnosti dnem podpisu a účinnosti dnem uveřejnění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1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3" w:val="left"/>
        </w:tabs>
        <w:bidi w:val="0"/>
        <w:spacing w:before="0" w:after="7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o prodloužení termínu odevzdání projektové dokumentace ze dne 9. 9. 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10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12700</wp:posOffset>
                </wp:positionV>
                <wp:extent cx="481330" cy="19177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5.200000000000003pt;margin-top:1.pt;width:37.899999999999999pt;height:15.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Přílohy: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prodloužení termínu odevzdání projektové dokumentace ze dne 9. 9. 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260" w:right="0" w:firstLine="0"/>
        <w:jc w:val="left"/>
      </w:pPr>
      <w:r>
        <w:drawing>
          <wp:anchor distT="377825" distB="0" distL="135890" distR="114300" simplePos="0" relativeHeight="125829382" behindDoc="0" locked="0" layoutInCell="1" allowOverlap="1">
            <wp:simplePos x="0" y="0"/>
            <wp:positionH relativeFrom="page">
              <wp:posOffset>852805</wp:posOffset>
            </wp:positionH>
            <wp:positionV relativeFrom="paragraph">
              <wp:posOffset>390525</wp:posOffset>
            </wp:positionV>
            <wp:extent cx="2456815" cy="262255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56815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12700</wp:posOffset>
                </wp:positionV>
                <wp:extent cx="661670" cy="18605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5.450000000000003pt;margin-top:1.pt;width:52.100000000000001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0 9. 10. 2019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4183" w:val="left"/>
        </w:tabs>
        <w:bidi w:val="0"/>
        <w:spacing w:before="0" w:after="0" w:line="218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</w: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852" w:left="1280" w:right="837" w:bottom="1785" w:header="1424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32790" distB="0" distL="0" distR="0" simplePos="0" relativeHeight="125829383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732790</wp:posOffset>
                </wp:positionV>
                <wp:extent cx="1195070" cy="36576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507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Pavel Vidlák</w:t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30.75pt;margin-top:57.700000000000003pt;width:94.099999999999994pt;height:28.800000000000001pt;z-index:-125829370;mso-wrap-distance-left:0;mso-wrap-distance-top:57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Pavel Vidlák</w:t>
                        <w:br/>
                        <w:t>jednatel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3900" distB="8890" distL="0" distR="0" simplePos="0" relativeHeight="125829385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723900</wp:posOffset>
                </wp:positionV>
                <wp:extent cx="1195070" cy="36576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507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64.5pt;margin-top:57.pt;width:94.099999999999994pt;height:28.800000000000001pt;z-index:-125829368;mso-wrap-distance-left:0;mso-wrap-distance-top:57.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PRODLOUŽENÍ TERMÍNU NA VYPRACOVÁNÍ PROJEKTOVÉ</w:t>
        <w:br/>
        <w:t>DOKUMENTACE</w:t>
      </w:r>
    </w:p>
    <w:tbl>
      <w:tblPr>
        <w:tblOverlap w:val="never"/>
        <w:jc w:val="center"/>
        <w:tblLayout w:type="fixed"/>
      </w:tblPr>
      <w:tblGrid>
        <w:gridCol w:w="1790"/>
        <w:gridCol w:w="6883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„ni/15215, III/15216 Pálovice průtah“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ZDŮVODNĚNÍ: Z DŮVODU ZMĚNY ROZSAHU PROJEKTOVÉ DOKUMENTACE JSME ZNOVU ROZESLALI UPRAVENOU PROJEKTOVOU DOKUMENTACI K VYJÁDŘENÍ VŠECH DOTČENÝCH ORGÁNŮ. VZHLEDEM KE STÁVAJÍCÍM ČEKACÍM LHŮTÁM NA VYJÁDŘENÍ ZE STRANY Dl PČR ŽÁDÁME O POSUNUTÍ TERMÍNU ODEVZDÁNÍ DÍLA DO 20 DNŮ OD ZÍSKÁNÍ VYJÁDŘENÍ Dl PČR NEBO POSLEDNÍHO VYJÁDŘENÍ DOTČENÝCH ORGÁNŮ.</w:t>
      </w:r>
    </w:p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ŽÁDÁ O PRODLOUŽENÍ TERMÍNU DOKONČENÍ INŽENÝRSKÉ ČINNOSTI NA ZÁKLADĚ ZNOVU ROZESLÁNÍ PROJEKTOVÉ DOKUMENTACE K VYJÁDŘENÍ PO ÚPRAVĚ ROZSAHU DÍLA.</w:t>
      </w:r>
    </w:p>
    <w:tbl>
      <w:tblPr>
        <w:tblOverlap w:val="never"/>
        <w:jc w:val="center"/>
        <w:tblLayout w:type="fixed"/>
      </w:tblPr>
      <w:tblGrid>
        <w:gridCol w:w="1790"/>
        <w:gridCol w:w="6883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 objednatele: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862" w:val="left"/>
          <w:tab w:pos="7003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smluvních:</w:t>
        <w:tab/>
        <w:t>tel.: 4</w:t>
        <w:tab/>
        <w:t>, e-mail:</w:t>
      </w:r>
    </w:p>
    <w:p>
      <w:pPr>
        <w:widowControl w:val="0"/>
        <w:spacing w:after="639" w:line="1" w:lineRule="exact"/>
      </w:pPr>
    </w:p>
    <w:tbl>
      <w:tblPr>
        <w:tblOverlap w:val="never"/>
        <w:jc w:val="center"/>
        <w:tblLayout w:type="fixed"/>
      </w:tblPr>
      <w:tblGrid>
        <w:gridCol w:w="1790"/>
        <w:gridCol w:w="6883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VIPA project s.r.o., Projektování dopravních staveb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Cyrilometodějská 43/20, Nové Dvory, 674 01 Třebíč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Pavel Vidlák</w:t>
            </w:r>
          </w:p>
        </w:tc>
      </w:tr>
      <w:tr>
        <w:trPr>
          <w:trHeight w:val="7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 v: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živnostenském rejstříku města Třebíč, dne 7.12.2015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Společnost je zapsaná v obchodním rejstříku vedeném u Krajského soudu v Brně oddíl C vložka 91136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96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Třebíči 9. 9. 2019.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Vidlák</w:t>
      </w:r>
    </w:p>
    <w:sectPr>
      <w:footerReference w:type="default" r:id="rId8"/>
      <w:footnotePr>
        <w:pos w:val="pageBottom"/>
        <w:numFmt w:val="decimal"/>
        <w:numRestart w:val="continuous"/>
      </w:footnotePr>
      <w:pgSz w:w="11900" w:h="16840"/>
      <w:pgMar w:top="1585" w:left="1415" w:right="1753" w:bottom="1585" w:header="1157" w:footer="115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9652635</wp:posOffset>
              </wp:positionV>
              <wp:extent cx="6123305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33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4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Dodatek č. 2 k SoD č. 338/2018 - KSÚSV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6.200000000000003pt;margin-top:760.04999999999995pt;width:482.14999999999998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Dodatek č. 2 k SoD č. 338/2018 - KSÚSV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9539605</wp:posOffset>
              </wp:positionV>
              <wp:extent cx="619379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193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5pt;margin-top:751.14999999999998pt;width:487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itulek tabulky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Titulek obrázku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1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28">
    <w:name w:val="Základní text (4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Titulek obrázku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FFFFFF"/>
      <w:ind w:left="30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