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580"/>
        <w:gridCol w:w="600"/>
        <w:gridCol w:w="120"/>
        <w:gridCol w:w="60"/>
        <w:gridCol w:w="20"/>
        <w:gridCol w:w="20"/>
        <w:gridCol w:w="20"/>
        <w:gridCol w:w="1620"/>
        <w:gridCol w:w="20"/>
        <w:gridCol w:w="80"/>
        <w:gridCol w:w="20"/>
        <w:gridCol w:w="100"/>
        <w:gridCol w:w="20"/>
        <w:gridCol w:w="820"/>
        <w:gridCol w:w="1380"/>
        <w:gridCol w:w="520"/>
        <w:gridCol w:w="220"/>
        <w:gridCol w:w="180"/>
        <w:gridCol w:w="60"/>
        <w:gridCol w:w="2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20"/>
        <w:gridCol w:w="20"/>
        <w:gridCol w:w="20"/>
        <w:gridCol w:w="40"/>
        <w:gridCol w:w="140"/>
        <w:gridCol w:w="420"/>
      </w:tblGrid>
      <w:tr>
        <w:trPr>
          <w:trHeight w:hRule="exact" w:val="90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DejaVu Sans" w:hAnsi="DejaVu Sans" w:eastAsia="DejaVu Sans" w:cs="DejaVu Sans"/>
                <w:sz w:val="16"/>
                <w:b w:val="true"/>
              </w:rPr>
              <w:t xml:space="preserve">Strana:  1 z </w:t>
            </w:r>
          </w:p>
        </w:tc>
        <w:tc>
          <w:tcPr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/>
            </w:pPr>
            <w:r>
              <w:rPr>
                <w:rFonts w:ascii="DejaVu Sans" w:hAnsi="DejaVu Sans" w:eastAsia="DejaVu Sans" w:cs="DejaVu Sans"/>
                <w:sz w:val="16"/>
                <w:b w:val="true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drawing>
                <wp:anchor distT="0" distB="0" distL="0" distR="0" simplePos="0" relativeHeight="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381000" cy="381000"/>
                  <wp:wrapNone/>
                  <wp:docPr id="1860049537" name="Picture">
</wp:docPr>
                  <a:graphic>
                    <a:graphicData uri="http://schemas.openxmlformats.org/drawingml/2006/picture">
                      <pic:pic>
                        <pic:nvPicPr>
                          <pic:cNvPr id="1860049537" name="Picture"/>
                          <pic:cNvPicPr/>
                        </pic:nvPicPr>
                        <pic:blipFill>
                          <a:blip r:embed="img_0_0_4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9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860"/>
              <w:gridCol w:w="20"/>
            </w:tblGrid>
            <w:tr>
              <w:trPr>
                <w:trHeight w:hRule="exact" w:val="4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8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b w:val="true"/>
                      <w:i w:val="true"/>
                    </w:rPr>
                    <w:t xml:space="preserve">Objednávka č.: 2190137050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Odběratel: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Akademie múzických umění v Praze</w:t>
              <w:br/>
              <w:t xml:space="preserve">Malostranské náměstí 259/12</w:t>
              <w:br/>
              <w:t xml:space="preserve">118 00 PRAHA 1</w:t>
              <w:br/>
              <w:t xml:space="preserve">Česká republika</w:t>
            </w: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PID:</w:t>
            </w:r>
          </w:p>
        </w:tc>
        <w:tc>
          <w:tcPr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ind w:right="20"/>
              <w:jc w:val="right"/>
            </w:pPr>
            <w:r>
              <w:rPr>
                <w:rFonts w:ascii="Times New Roman" w:hAnsi="Times New Roman" w:eastAsia="Times New Roman" w:cs="Times New Roman"/>
                <w:sz w:val="16"/>
              </w:rPr>
              <w:t xml:space="preserve">2190137050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r>
              <w:drawing>
                <wp:anchor distT="0" distB="0" distL="0" distR="0" simplePos="0" relativeHeight="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wrapNone/>
                  <wp:docPr id="1099151036" name="Picture">
</wp:docPr>
                  <a:graphic>
                    <a:graphicData uri="http://schemas.openxmlformats.org/drawingml/2006/picture">
                      <pic:pic>
                        <pic:nvPicPr>
                          <pic:cNvPr id="1099151036" name="Picture"/>
                          <pic:cNvPicPr/>
                        </pic:nvPicPr>
                        <pic:blipFill>
                          <a:blip r:embed="img_0_0_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Smlouva:</w:t>
            </w:r>
          </w:p>
        </w:tc>
        <w:tc>
          <w:tcPr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Číslo účtu:</w:t>
            </w:r>
          </w:p>
        </w:tc>
        <w:tc>
          <w:tcPr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Peněžní ústav:</w:t>
            </w:r>
          </w:p>
        </w:tc>
        <w:tc>
          <w:tcPr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bookmarkStart w:id="1" w:name="JR_PAGE_ANCHOR_0_1"/>
            <w:bookmarkEnd w:id="1"/>
          </w:p>
          <w:p>
            <w:r>
              <w:br w:type="page"/>
            </w:r>
          </w:p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Dodavatel: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</w:rPr>
              <w:t xml:space="preserve">DIČ:</w:t>
            </w:r>
          </w:p>
        </w:tc>
        <w:tc>
          <w:tcPr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CZ61384984</w:t>
            </w:r>
          </w:p>
        </w:tc>
        <w:tc>
          <w:tcPr>
            <w:gridSpan w:val="8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IČ:</w:t>
            </w: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28948742</w:t>
            </w: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DIČ:</w:t>
            </w: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CZ28948742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</w:rPr>
              <w:t xml:space="preserve">IČ:</w:t>
            </w:r>
          </w:p>
        </w:tc>
        <w:tc>
          <w:tcPr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61384984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7"/>
            <w:vMerge w:val="restart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0"/>
              <w:gridCol w:w="4800"/>
              <w:gridCol w:w="20"/>
            </w:tblGrid>
            <w:tr>
              <w:trPr>
                <w:trHeight w:hRule="exact" w:val="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7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40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AjTy, s.r.o.</w:t>
                    <w:br/>
                    <w:t xml:space="preserve">Antala Staška 1074/53a</w:t>
                    <w:br/>
                    <w:t xml:space="preserve">14000 Praha</w:t>
                    <w:br/>
                    <w:t xml:space="preserve">Česká republika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80"/>
              </w:trPr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7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7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Konečný příjemce: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7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0"/>
              <w:gridCol w:w="40"/>
              <w:gridCol w:w="4720"/>
              <w:gridCol w:w="60"/>
            </w:tblGrid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4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  <w:r>
                    <w:rPr>
                      <w:rFonts w:ascii="Times New Roman" w:hAnsi="Times New Roman" w:eastAsia="Times New Roman" w:cs="Times New Roman"/>
                      <w:b w:val="true"/>
                    </w:rPr>
                    <w:t xml:space="preserve">137 Odd. OPVV HAMU</w:t>
                  </w:r>
                </w:p>
              </w:tc>
            </w:tr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80"/>
              </w:trPr>
              <w:tc>
                <w:tcPr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Ing. ZÍKOVÁ Andrea</w:t>
                  </w:r>
                </w:p>
              </w:tc>
            </w:tr>
            <w:tr>
              <w:trPr>
                <w:trHeight w:hRule="exact" w:val="480"/>
              </w:trPr>
              <w:tc>
                <w:tcPr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  <w:r>
                    <w:rPr>
                      <w:rFonts w:ascii="Times New Roman" w:hAnsi="Times New Roman" w:eastAsia="Times New Roman" w:cs="Times New Roman"/>
                      <w:b w:val="true"/>
                    </w:rPr>
                    <w:t xml:space="preserve">Tel.: 234 244 105, Fax: </w:t>
                    <w:br/>
                    <w:t xml:space="preserve">E-mail: andrea.zikova@hamu.cz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7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7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Platnost objednávky do:</w:t>
            </w:r>
          </w:p>
        </w:tc>
        <w:tc>
          <w:tcPr>
            <w:gridSpan w:val="4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31.12.2019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Termín dodání:</w:t>
            </w:r>
          </w:p>
        </w:tc>
        <w:tc>
          <w:tcPr>
            <w:gridSpan w:val="4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30.11.2019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Forma úhrady:</w:t>
            </w: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/>
              <w:jc w:val="lef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Příkazem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700"/>
              <w:gridCol w:w="5000"/>
              <w:gridCol w:w="2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Místo dodání: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  <w:b w:val="true"/>
                    </w:rPr>
                    <w:t xml:space="preserve">HAMU, Malostranské náměstí 13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0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Termín úhrady:</w:t>
            </w: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700"/>
              <w:gridCol w:w="5000"/>
              <w:gridCol w:w="2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Způsob dopravy: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0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700"/>
              <w:gridCol w:w="5000"/>
              <w:gridCol w:w="2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Dodací podmínky: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00"/>
              <w:gridCol w:w="9680"/>
              <w:gridCol w:w="200"/>
            </w:tblGrid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0"/>
              </w:trPr>
              <w:tc>
                <w:tcPr>
                  <w:shd w:val="clear" w:color="auto" w:fill="FFFFFF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2"/>
                <w:b w:val="true"/>
              </w:rPr>
              <w:t xml:space="preserve">Na faktury uvádějte číslo naší objednávky a zasílejte je na mailovou adresu podatelny faktury@amu.cz</w:t>
              <w:br/>
              <w:t xml:space="preserve">Dodejte: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0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</w:rPr>
              <w:t xml:space="preserve">Realizuje se v rámci projektu "Zajištění kvality studia na AMU a posílení reflexe nejnovějších trendů v umělecké praxi" spolufinancovaného Evropskou unií v rámci Operačního programu Výzkum, vývoj a vzdělávání pod reg. č. CZ.02.2.69/0.0/0.0/16_015/0002404, ?ESF výzva pro vysoké školy? č. 02_16_015. Na fakturu uveďte "Týká se projektu reg. č. CZ.02.2.69/0.0/0.0/16_015/0002404", bez ní nemůžeme fakturu akceptovat.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Položkový rozpis: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1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Položka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</w:p>
        </w:tc>
        <w:tc>
          <w:tcPr>
            <w:gridSpan w:val="3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Množství</w:t>
            </w:r>
          </w:p>
        </w:tc>
        <w:tc>
          <w:tcPr>
            <w:gridSpan w:val="6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MJ</w:t>
            </w:r>
          </w:p>
        </w:tc>
        <w:tc>
          <w:tcPr>
            <w:gridSpan w:val="7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Cena/MJ</w:t>
            </w:r>
          </w:p>
        </w:tc>
        <w:tc>
          <w:tcPr>
            <w:gridSpan w:val="8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6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Celkem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Stolní počítač HP ProDesk 600 G5 SFF i5-9500/16GB/W10/5yNBD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7.00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15 682.00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109 774.00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1"/>
            <w:shd w:val="clear" w:color="auto" w:fill="000000"/>
            <w:tcBorders>
              <w:top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spacing w:lineRule="auto" w:line="240" w:after="20" w:before="20"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  <w:i w:val="true"/>
              </w:rPr>
              <w:t xml:space="preserve">Předpokládaná cena celkem (bez DPH):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180"/>
              <w:gridCol w:w="700"/>
            </w:tblGrid>
            <w:tr>
              <w:trPr>
                <w:trHeight w:hRule="exact" w:val="3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109 774.00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</w:rPr>
              <w:t xml:space="preserve">Datum vystavení: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10.10.2019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Vystavil:</w:t>
            </w:r>
            <w:r>
              <w:rPr>
                <w:rFonts w:ascii="Times New Roman" w:hAnsi="Times New Roman" w:eastAsia="Times New Roman" w:cs="Times New Roman"/>
              </w:rPr>
              <w:br/>
              <w:t xml:space="preserve">Ing. ZÍKOVÁ Andrea</w:t>
              <w:br/>
              <w:t xml:space="preserve">Tel.: 234 244 105, Fax: E-mail: andrea.zikova@hamu.cz</w:t>
            </w:r>
            <w:r>
              <w:rPr>
                <w:rFonts w:ascii="Consolas" w:hAnsi="Consolas" w:eastAsia="Consolas" w:cs="Consolas"/>
              </w:rPr>
              <w:br/>
              <w:t xml:space="preserve">                                                                      ...................</w:t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hAnsi="Times New Roman" w:eastAsia="Times New Roman" w:cs="Times New Roman"/>
              </w:rPr>
              <w:t xml:space="preserve">Razítko, podpis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Consolas" w:hAnsi="Consolas" w:eastAsia="Consolas" w:cs="Consolas"/>
                <w:sz w:val="14"/>
              </w:rPr>
              <w:br/>
            </w:r>
            <w:r>
              <w:rPr>
                <w:rFonts w:ascii="Consolas" w:hAnsi="Consolas" w:eastAsia="Consolas" w:cs="Consolas"/>
                <w:sz w:val="14"/>
                <w:b w:val="true"/>
              </w:rPr>
              <w:t xml:space="preserve">  1) Tato objednávka je návrhem na uzavření smlouvy</w:t>
            </w:r>
            <w:r>
              <w:rPr>
                <w:rFonts w:ascii="Consolas" w:hAnsi="Consolas" w:eastAsia="Consolas" w:cs="Consolas"/>
                <w:sz w:val="14"/>
              </w:rPr>
              <w:t xml:space="preserve"> podle § 1731 z.č. 89/2012 Sb., občanského zákoníku. V případě, že touto objednávkou objednatel přijímá návrh na uzavření smlouvy od adresáta, je jejím doručením adresátovi uzavřena smlouva. Doručení objednávky vždy potvrďte písemným oznámením výhradně elektronicky v otevřeném a strojově čitelném formátu zaslaným na el. adresu uvedenou na objednávce v části Vystavil. Pouze doručením oznámení o přijetí na tuto adresu je smlouva uzavřena!</w:t>
              <w:br/>
            </w:r>
            <w:r>
              <w:rPr>
                <w:rFonts w:ascii="Consolas" w:hAnsi="Consolas" w:eastAsia="Consolas" w:cs="Consolas"/>
                <w:sz w:val="14"/>
                <w:b w:val="true"/>
              </w:rPr>
              <w:t xml:space="preserve">  2) Objednatel informuje adresáta návrhu</w:t>
            </w:r>
            <w:r>
              <w:rPr>
                <w:rFonts w:ascii="Consolas" w:hAnsi="Consolas" w:eastAsia="Consolas" w:cs="Consolas"/>
                <w:sz w:val="14"/>
              </w:rPr>
              <w:t xml:space="preserve">, že je subjektem dle ust. § 2 odst. 1 písm. e) z.č. 340/2015 Sb., o registru smluv, v platném znění, (dále jen zákon a RS), a na smlouvy jím uzavírané se vztahuje povinnost uveřejnění prostřednictvím RS nejpozději do 30 dnů ode dne uzavření smlouvy. Nejdříve uveřejněním v RS nabývá smlouva účinnosti. Smlouva neuveřejněná ani do 3 měsíců ode dne, kdy byla uzavřena, je zrušena od počátku. Podrobnosti k RS jsou zveřejněny na http://www.mvcr.cz/clanek/registr-smluv.aspx</w:t>
              <w:br/>
            </w:r>
            <w:r>
              <w:rPr>
                <w:rFonts w:ascii="Consolas" w:hAnsi="Consolas" w:eastAsia="Consolas" w:cs="Consolas"/>
                <w:sz w:val="14"/>
                <w:b w:val="true"/>
              </w:rPr>
              <w:t xml:space="preserve">  3) Objednatel vyzývá adresáta</w:t>
            </w:r>
            <w:r>
              <w:rPr>
                <w:rFonts w:ascii="Consolas" w:hAnsi="Consolas" w:eastAsia="Consolas" w:cs="Consolas"/>
                <w:sz w:val="14"/>
              </w:rPr>
              <w:t xml:space="preserve">, aby současně s přijetím nabídky sdělil objednateli, zda se na smlouvu, kterou s objednatelem prostřednictvím přijetí nabídky uzavře, vztahuje některá z výjimek uveřejnění podle § 3 zákona (např. podle jeho odst. 1 a 2 písm. a), c), d), f), h), k) nebo l)) nebo podle § 5 odst. 6 zákona. Nesdělení takové informace opravňuje objednatele uveřejnit smlouvy prostřednictvím RS v plném rozsahu.</w:t>
              <w:br/>
            </w:r>
            <w:r>
              <w:rPr>
                <w:rFonts w:ascii="Consolas" w:hAnsi="Consolas" w:eastAsia="Consolas" w:cs="Consolas"/>
                <w:sz w:val="14"/>
                <w:b w:val="true"/>
              </w:rPr>
              <w:t xml:space="preserve">  4) Objednatel informuje adresáta</w:t>
            </w:r>
            <w:r>
              <w:rPr>
                <w:rFonts w:ascii="Consolas" w:hAnsi="Consolas" w:eastAsia="Consolas" w:cs="Consolas"/>
                <w:sz w:val="14"/>
              </w:rPr>
              <w:t xml:space="preserve">, že je oprávněn a povinen k plnění teprve na základě uveřejněné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AMU je veřejná vysoká škola zřízená Dekretem prezidenta republiky z 27.10.1945, zákon č.111/1998 Sb. ve znění pozdějších změn.</w:t>
              <w:br/>
              <w:t xml:space="preserve">IBAN: CZ5301000000195373180297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40" w:h="16920" w:orient="portrait"/>
      <w:pgMar w:top="0" w:right="0" w:bottom="0" w:left="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sz w:val="1"/>
    </w:rPr>
  </w:style>
  <w:style w:type="paragraph" w:styleId="normal1">
    <w:name w:val="normal1"/>
    <w:qFormat/>
    <w:pPr>
      <w:ind w:left="20" w:right="20"/>
    </w:pPr>
    <w:rPr>
      <w:rFonts w:ascii="Times New Roman" w:hAnsi="Times New Roman" w:eastAsia="Times New Roman" w:cs="Times New Roman"/>
      <w:sz w:val="16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img_0_0_41" Type="http://schemas.openxmlformats.org/officeDocument/2006/relationships/image" Target="media/img_0_0_41.jpeg"/>
 <Relationship Id="img_0_0_31" Type="http://schemas.openxmlformats.org/officeDocument/2006/relationships/image" Target="media/img_0_0_31.png"/>
</Relationships>

</file>