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kupujícího: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3A3B06">
        <w:rPr>
          <w:rFonts w:ascii="Arial" w:hAnsi="Arial" w:cs="Arial"/>
          <w:b/>
          <w:sz w:val="24"/>
          <w:szCs w:val="24"/>
        </w:rPr>
        <w:t>534</w:t>
      </w:r>
      <w:r w:rsidRPr="009F2CAE">
        <w:rPr>
          <w:rFonts w:ascii="Arial" w:hAnsi="Arial" w:cs="Arial"/>
          <w:b/>
          <w:sz w:val="24"/>
          <w:szCs w:val="24"/>
        </w:rPr>
        <w:t>/201</w:t>
      </w:r>
      <w:r w:rsidR="008F0FAB" w:rsidRPr="009F2CAE">
        <w:rPr>
          <w:rFonts w:ascii="Arial" w:hAnsi="Arial" w:cs="Arial"/>
          <w:b/>
          <w:sz w:val="24"/>
          <w:szCs w:val="24"/>
        </w:rPr>
        <w:t>6</w:t>
      </w:r>
    </w:p>
    <w:p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Pr="009F2CAE" w:rsidRDefault="00F12975" w:rsidP="00F12975">
      <w:pPr>
        <w:rPr>
          <w:rFonts w:ascii="Arial" w:hAnsi="Arial" w:cs="Arial"/>
          <w:b/>
        </w:rPr>
      </w:pPr>
    </w:p>
    <w:p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:rsidR="00195812" w:rsidRPr="00BB50A0" w:rsidRDefault="00195812" w:rsidP="00F12975">
      <w:pPr>
        <w:jc w:val="center"/>
        <w:rPr>
          <w:rFonts w:ascii="Arial" w:hAnsi="Arial" w:cs="Arial"/>
          <w:b/>
          <w:sz w:val="22"/>
        </w:rPr>
      </w:pPr>
    </w:p>
    <w:p w:rsidR="00F12975" w:rsidRPr="00BB50A0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B50A0">
        <w:rPr>
          <w:rFonts w:ascii="Arial" w:hAnsi="Arial" w:cs="Arial"/>
          <w:b/>
          <w:sz w:val="22"/>
        </w:rPr>
        <w:t>Prodávající</w:t>
      </w:r>
    </w:p>
    <w:p w:rsidR="00F12975" w:rsidRPr="00BB50A0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F2CAE" w:rsidRPr="00E326FC" w:rsidTr="009F2CAE">
        <w:tc>
          <w:tcPr>
            <w:tcW w:w="2050" w:type="dxa"/>
          </w:tcPr>
          <w:p w:rsidR="009F2CAE" w:rsidRPr="00E326FC" w:rsidRDefault="009F2CAE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326FC"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</w:p>
        </w:tc>
        <w:tc>
          <w:tcPr>
            <w:tcW w:w="288" w:type="dxa"/>
          </w:tcPr>
          <w:p w:rsidR="009F2CAE" w:rsidRPr="00E326FC" w:rsidRDefault="009F2CAE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9F2CAE" w:rsidRPr="00E326FC" w:rsidRDefault="00E326FC" w:rsidP="008208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6FC">
              <w:rPr>
                <w:rFonts w:ascii="Arial" w:hAnsi="Arial" w:cs="Arial"/>
                <w:b/>
                <w:sz w:val="22"/>
                <w:szCs w:val="22"/>
              </w:rPr>
              <w:t>ITTEC, s.r.o.</w:t>
            </w:r>
          </w:p>
        </w:tc>
      </w:tr>
      <w:tr w:rsidR="009F2CAE" w:rsidRPr="00E326FC" w:rsidTr="009F2CAE">
        <w:tc>
          <w:tcPr>
            <w:tcW w:w="2050" w:type="dxa"/>
          </w:tcPr>
          <w:p w:rsidR="009F2CAE" w:rsidRPr="00E326FC" w:rsidRDefault="009F2CAE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88" w:type="dxa"/>
          </w:tcPr>
          <w:p w:rsidR="009F2CAE" w:rsidRPr="00E326FC" w:rsidRDefault="009F2CAE" w:rsidP="00820840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9F2CAE" w:rsidRPr="00E326FC" w:rsidRDefault="00E326FC" w:rsidP="008208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26FC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proofErr w:type="spellEnd"/>
            <w:r w:rsidRPr="00E326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26FC">
              <w:rPr>
                <w:rFonts w:ascii="Arial" w:hAnsi="Arial" w:cs="Arial"/>
                <w:sz w:val="22"/>
                <w:szCs w:val="22"/>
                <w:lang w:val="en-US"/>
              </w:rPr>
              <w:t>Šmatlíkem</w:t>
            </w:r>
            <w:proofErr w:type="spellEnd"/>
            <w:r w:rsidRPr="00E326FC">
              <w:rPr>
                <w:rFonts w:ascii="Arial" w:hAnsi="Arial" w:cs="Arial"/>
                <w:sz w:val="22"/>
                <w:szCs w:val="22"/>
                <w:lang w:val="en-US"/>
              </w:rPr>
              <w:t xml:space="preserve"> 824, 149 00 Praha 4</w:t>
            </w:r>
          </w:p>
        </w:tc>
      </w:tr>
      <w:tr w:rsidR="009F2CAE" w:rsidRPr="00E326FC" w:rsidTr="009F2CAE">
        <w:tc>
          <w:tcPr>
            <w:tcW w:w="2050" w:type="dxa"/>
          </w:tcPr>
          <w:p w:rsidR="009F2CAE" w:rsidRPr="00E326FC" w:rsidRDefault="009F2CAE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288" w:type="dxa"/>
          </w:tcPr>
          <w:p w:rsidR="009F2CAE" w:rsidRPr="00E326FC" w:rsidRDefault="009F2CAE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9F2CAE" w:rsidRPr="00E326FC" w:rsidRDefault="00E326FC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RNDr. Pavel Hrdina</w:t>
            </w:r>
            <w:r w:rsidR="00DE3C96">
              <w:rPr>
                <w:rFonts w:ascii="Arial" w:hAnsi="Arial" w:cs="Arial"/>
                <w:sz w:val="22"/>
                <w:szCs w:val="22"/>
              </w:rPr>
              <w:t>,</w:t>
            </w:r>
            <w:r w:rsidRPr="00E326FC">
              <w:rPr>
                <w:rFonts w:ascii="Arial" w:hAnsi="Arial" w:cs="Arial"/>
                <w:sz w:val="22"/>
                <w:szCs w:val="22"/>
              </w:rPr>
              <w:t xml:space="preserve"> jednatel</w:t>
            </w:r>
          </w:p>
        </w:tc>
      </w:tr>
      <w:tr w:rsidR="009F2CAE" w:rsidRPr="00E326FC" w:rsidTr="009F2CAE">
        <w:tc>
          <w:tcPr>
            <w:tcW w:w="2050" w:type="dxa"/>
          </w:tcPr>
          <w:p w:rsidR="009F2CAE" w:rsidRPr="00E326FC" w:rsidRDefault="009F2CAE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Technický zástupce</w:t>
            </w:r>
          </w:p>
        </w:tc>
        <w:tc>
          <w:tcPr>
            <w:tcW w:w="288" w:type="dxa"/>
          </w:tcPr>
          <w:p w:rsidR="009F2CAE" w:rsidRPr="00E326FC" w:rsidRDefault="009F2CAE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9F2CAE" w:rsidRPr="00E326FC" w:rsidRDefault="003933D3" w:rsidP="008208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  <w:tr w:rsidR="009F2CAE" w:rsidRPr="00E326FC" w:rsidTr="009F2CAE">
        <w:tc>
          <w:tcPr>
            <w:tcW w:w="2050" w:type="dxa"/>
          </w:tcPr>
          <w:p w:rsidR="009F2CAE" w:rsidRPr="00E326FC" w:rsidRDefault="009F2CAE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288" w:type="dxa"/>
          </w:tcPr>
          <w:p w:rsidR="009F2CAE" w:rsidRPr="00E326FC" w:rsidRDefault="009F2CAE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9F2CAE" w:rsidRPr="00E326FC" w:rsidRDefault="00E326FC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64574296</w:t>
            </w:r>
          </w:p>
        </w:tc>
      </w:tr>
      <w:tr w:rsidR="009F2CAE" w:rsidRPr="00E326FC" w:rsidTr="009F2CAE">
        <w:tc>
          <w:tcPr>
            <w:tcW w:w="2050" w:type="dxa"/>
          </w:tcPr>
          <w:p w:rsidR="009F2CAE" w:rsidRPr="00E326FC" w:rsidRDefault="009F2CAE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88" w:type="dxa"/>
          </w:tcPr>
          <w:p w:rsidR="009F2CAE" w:rsidRPr="00E326FC" w:rsidRDefault="009F2CAE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9F2CAE" w:rsidRPr="00E326FC" w:rsidRDefault="00E326FC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CZ64574296</w:t>
            </w:r>
          </w:p>
        </w:tc>
      </w:tr>
      <w:tr w:rsidR="003933D3" w:rsidRPr="00E326FC" w:rsidTr="009F2CAE">
        <w:tc>
          <w:tcPr>
            <w:tcW w:w="2050" w:type="dxa"/>
          </w:tcPr>
          <w:p w:rsidR="003933D3" w:rsidRPr="00E326FC" w:rsidRDefault="003933D3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Bankovní spojení</w:t>
            </w:r>
          </w:p>
        </w:tc>
        <w:tc>
          <w:tcPr>
            <w:tcW w:w="288" w:type="dxa"/>
          </w:tcPr>
          <w:p w:rsidR="003933D3" w:rsidRPr="00E326FC" w:rsidRDefault="003933D3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3933D3" w:rsidRDefault="003933D3">
            <w:proofErr w:type="spellStart"/>
            <w:r w:rsidRPr="000412BD"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  <w:tr w:rsidR="003933D3" w:rsidRPr="00E326FC" w:rsidTr="009F2CAE">
        <w:tc>
          <w:tcPr>
            <w:tcW w:w="2050" w:type="dxa"/>
          </w:tcPr>
          <w:p w:rsidR="003933D3" w:rsidRPr="00E326FC" w:rsidRDefault="003933D3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 xml:space="preserve">Číslo účtu     </w:t>
            </w:r>
          </w:p>
        </w:tc>
        <w:tc>
          <w:tcPr>
            <w:tcW w:w="288" w:type="dxa"/>
          </w:tcPr>
          <w:p w:rsidR="003933D3" w:rsidRPr="00E326FC" w:rsidRDefault="003933D3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3933D3" w:rsidRDefault="003933D3">
            <w:proofErr w:type="spellStart"/>
            <w:r w:rsidRPr="000412BD"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  <w:tr w:rsidR="003933D3" w:rsidRPr="00E326FC" w:rsidTr="009F2CAE">
        <w:tc>
          <w:tcPr>
            <w:tcW w:w="2050" w:type="dxa"/>
          </w:tcPr>
          <w:p w:rsidR="003933D3" w:rsidRPr="00E326FC" w:rsidRDefault="003933D3" w:rsidP="0082084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88" w:type="dxa"/>
          </w:tcPr>
          <w:p w:rsidR="003933D3" w:rsidRPr="00E326FC" w:rsidRDefault="003933D3" w:rsidP="00820840">
            <w:pPr>
              <w:rPr>
                <w:rFonts w:ascii="Arial" w:hAnsi="Arial" w:cs="Arial"/>
                <w:sz w:val="22"/>
                <w:szCs w:val="22"/>
              </w:rPr>
            </w:pPr>
            <w:r w:rsidRPr="00E326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32" w:type="dxa"/>
          </w:tcPr>
          <w:p w:rsidR="003933D3" w:rsidRDefault="003933D3">
            <w:proofErr w:type="spellStart"/>
            <w:r w:rsidRPr="000412BD"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</w:tbl>
    <w:p w:rsidR="00F12975" w:rsidRPr="00E326FC" w:rsidRDefault="00F12975" w:rsidP="00E001DF">
      <w:pPr>
        <w:rPr>
          <w:rFonts w:ascii="Arial" w:hAnsi="Arial" w:cs="Arial"/>
          <w:b/>
          <w:sz w:val="22"/>
          <w:szCs w:val="22"/>
        </w:rPr>
      </w:pPr>
    </w:p>
    <w:p w:rsidR="0084300C" w:rsidRPr="00E326FC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E326FC">
        <w:rPr>
          <w:rFonts w:ascii="Arial" w:hAnsi="Arial" w:cs="Arial"/>
          <w:sz w:val="22"/>
          <w:szCs w:val="22"/>
        </w:rPr>
        <w:t>Prodávající je</w:t>
      </w:r>
      <w:r w:rsidR="00E326FC" w:rsidRPr="00E326FC">
        <w:rPr>
          <w:rFonts w:ascii="Arial" w:hAnsi="Arial" w:cs="Arial"/>
          <w:sz w:val="22"/>
          <w:szCs w:val="22"/>
        </w:rPr>
        <w:t xml:space="preserve"> zapsán v Obchodním rejstříku Městského soudu v Praze, v oddílu C</w:t>
      </w:r>
      <w:r w:rsidRPr="00E326FC">
        <w:rPr>
          <w:rFonts w:ascii="Arial" w:hAnsi="Arial" w:cs="Arial"/>
          <w:sz w:val="22"/>
          <w:szCs w:val="22"/>
        </w:rPr>
        <w:t>, vložce č.</w:t>
      </w:r>
      <w:r w:rsidR="00E326FC" w:rsidRPr="00E326FC">
        <w:rPr>
          <w:rFonts w:ascii="Arial" w:hAnsi="Arial" w:cs="Arial"/>
          <w:sz w:val="22"/>
          <w:szCs w:val="22"/>
        </w:rPr>
        <w:t xml:space="preserve"> 41746.</w:t>
      </w:r>
      <w:r w:rsidRPr="00E326FC">
        <w:rPr>
          <w:rFonts w:ascii="Arial" w:hAnsi="Arial" w:cs="Arial"/>
          <w:sz w:val="22"/>
          <w:szCs w:val="22"/>
        </w:rPr>
        <w:t xml:space="preserve"> </w:t>
      </w:r>
    </w:p>
    <w:p w:rsidR="0084300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</w:p>
    <w:p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001DF" w:rsidRPr="008B366C">
              <w:rPr>
                <w:rFonts w:ascii="Arial" w:hAnsi="Arial" w:cs="Arial"/>
                <w:sz w:val="22"/>
              </w:rPr>
              <w:t>Jiří Nedoma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3D679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D191B" w:rsidRPr="008B366C">
              <w:rPr>
                <w:rFonts w:ascii="Arial" w:hAnsi="Arial" w:cs="Arial"/>
                <w:sz w:val="22"/>
              </w:rPr>
              <w:t>Ja</w:t>
            </w:r>
            <w:r w:rsidR="003D679F">
              <w:rPr>
                <w:rFonts w:ascii="Arial" w:hAnsi="Arial" w:cs="Arial"/>
                <w:sz w:val="22"/>
              </w:rPr>
              <w:t>n Fischer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3933D3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3933D3" w:rsidRPr="008B366C">
        <w:tc>
          <w:tcPr>
            <w:tcW w:w="2050" w:type="dxa"/>
          </w:tcPr>
          <w:p w:rsidR="003933D3" w:rsidRPr="008B366C" w:rsidRDefault="003933D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3933D3" w:rsidRPr="008B366C" w:rsidRDefault="003933D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933D3" w:rsidRDefault="003933D3">
            <w:proofErr w:type="spellStart"/>
            <w:r w:rsidRPr="001C437B"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  <w:tr w:rsidR="003933D3" w:rsidRPr="008B366C">
        <w:tc>
          <w:tcPr>
            <w:tcW w:w="2050" w:type="dxa"/>
          </w:tcPr>
          <w:p w:rsidR="003933D3" w:rsidRPr="008B366C" w:rsidRDefault="003933D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3933D3" w:rsidRPr="008B366C" w:rsidRDefault="003933D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933D3" w:rsidRDefault="003933D3">
            <w:proofErr w:type="spellStart"/>
            <w:r w:rsidRPr="001C437B"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  <w:tr w:rsidR="003933D3" w:rsidRPr="008B366C">
        <w:tc>
          <w:tcPr>
            <w:tcW w:w="2050" w:type="dxa"/>
          </w:tcPr>
          <w:p w:rsidR="003933D3" w:rsidRPr="008B366C" w:rsidRDefault="003933D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3933D3" w:rsidRPr="008B366C" w:rsidRDefault="003933D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933D3" w:rsidRDefault="003933D3">
            <w:proofErr w:type="spellStart"/>
            <w:r w:rsidRPr="001C437B"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9B3696" w:rsidRDefault="009B3696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3A3B06" w:rsidRPr="00591E27" w:rsidRDefault="003A3B06">
      <w:pPr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591E27" w:rsidRDefault="00924B55" w:rsidP="00924B55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394100" w:rsidRDefault="00924B55" w:rsidP="00924B55">
      <w:pPr>
        <w:pStyle w:val="Zkladntext"/>
        <w:ind w:left="397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Pr="00637ADA">
        <w:rPr>
          <w:rFonts w:ascii="Arial" w:hAnsi="Arial" w:cs="Arial"/>
        </w:rPr>
        <w:t>Předmětem této smlouvy je převod vlastnického práva k movité věci, a to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nov</w:t>
      </w:r>
      <w:r>
        <w:rPr>
          <w:rFonts w:ascii="Arial" w:hAnsi="Arial" w:cs="Arial"/>
        </w:rPr>
        <w:t>ého</w:t>
      </w:r>
      <w:r w:rsidRPr="00591E27">
        <w:rPr>
          <w:rFonts w:ascii="Arial" w:hAnsi="Arial" w:cs="Arial"/>
        </w:rPr>
        <w:t xml:space="preserve"> a nepoužit</w:t>
      </w:r>
      <w:r>
        <w:rPr>
          <w:rFonts w:ascii="Arial" w:hAnsi="Arial" w:cs="Arial"/>
        </w:rPr>
        <w:t>ého</w:t>
      </w:r>
      <w:r w:rsidR="006F29A7">
        <w:rPr>
          <w:rFonts w:ascii="Arial" w:hAnsi="Arial" w:cs="Arial"/>
        </w:rPr>
        <w:t xml:space="preserve"> malého transportního vozidla </w:t>
      </w:r>
      <w:r w:rsidRPr="00591E27">
        <w:rPr>
          <w:rFonts w:ascii="Arial" w:hAnsi="Arial" w:cs="Arial"/>
        </w:rPr>
        <w:t xml:space="preserve">za podmínek </w:t>
      </w:r>
      <w:r>
        <w:rPr>
          <w:rFonts w:ascii="Arial" w:hAnsi="Arial" w:cs="Arial"/>
        </w:rPr>
        <w:t xml:space="preserve">podle </w:t>
      </w:r>
      <w:r w:rsidRPr="00591E27">
        <w:rPr>
          <w:rFonts w:ascii="Arial" w:hAnsi="Arial" w:cs="Arial"/>
        </w:rPr>
        <w:t>této smlouvy</w:t>
      </w:r>
      <w:r w:rsidR="006F29A7">
        <w:rPr>
          <w:rFonts w:ascii="Arial" w:hAnsi="Arial" w:cs="Arial"/>
        </w:rPr>
        <w:t>.</w:t>
      </w:r>
    </w:p>
    <w:p w:rsidR="00924B55" w:rsidRPr="00591E27" w:rsidRDefault="00924B55" w:rsidP="00924B55">
      <w:pPr>
        <w:ind w:left="360" w:hanging="360"/>
        <w:jc w:val="both"/>
        <w:rPr>
          <w:rFonts w:ascii="Arial" w:hAnsi="Arial" w:cs="Arial"/>
          <w:sz w:val="22"/>
        </w:rPr>
      </w:pPr>
      <w:r w:rsidRPr="00236F79">
        <w:rPr>
          <w:rFonts w:ascii="Arial" w:hAnsi="Arial" w:cs="Arial"/>
          <w:sz w:val="22"/>
        </w:rPr>
        <w:t xml:space="preserve"> </w:t>
      </w:r>
      <w:r w:rsidRPr="00236F79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(dále jen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) 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924B55" w:rsidRPr="00591E27" w:rsidTr="00820840">
        <w:tc>
          <w:tcPr>
            <w:tcW w:w="3118" w:type="dxa"/>
          </w:tcPr>
          <w:p w:rsidR="00924B55" w:rsidRPr="00591E27" w:rsidRDefault="00924B55" w:rsidP="0082084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:rsidR="00924B55" w:rsidRPr="00591E27" w:rsidRDefault="00924B55" w:rsidP="0082084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Modelový kód: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070" w:type="dxa"/>
          </w:tcPr>
          <w:p w:rsidR="00924B55" w:rsidRPr="00591E27" w:rsidRDefault="00924B55" w:rsidP="0082084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 motoru/výkon: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</w:tr>
      <w:tr w:rsidR="00924B55" w:rsidRPr="007C3CE7" w:rsidTr="00820840">
        <w:tc>
          <w:tcPr>
            <w:tcW w:w="3118" w:type="dxa"/>
          </w:tcPr>
          <w:p w:rsidR="00924B55" w:rsidRPr="007C3CE7" w:rsidRDefault="00B028A1" w:rsidP="00B028A1">
            <w:pPr>
              <w:jc w:val="both"/>
              <w:rPr>
                <w:rFonts w:ascii="Arial" w:hAnsi="Arial" w:cs="Arial"/>
                <w:b/>
                <w:color w:val="FF0000"/>
                <w:sz w:val="22"/>
              </w:rPr>
            </w:pPr>
            <w:r w:rsidRPr="00B028A1">
              <w:rPr>
                <w:rFonts w:ascii="Arial" w:hAnsi="Arial" w:cs="Arial"/>
                <w:sz w:val="22"/>
              </w:rPr>
              <w:t>KIOTI MECHRON 2210</w:t>
            </w:r>
          </w:p>
        </w:tc>
        <w:tc>
          <w:tcPr>
            <w:tcW w:w="2526" w:type="dxa"/>
          </w:tcPr>
          <w:p w:rsidR="00924B55" w:rsidRPr="00B028A1" w:rsidRDefault="00B028A1" w:rsidP="0082084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28A1">
              <w:rPr>
                <w:rFonts w:ascii="Arial" w:hAnsi="Arial" w:cs="Arial"/>
                <w:sz w:val="22"/>
              </w:rPr>
              <w:t>KTMECH2210SW</w:t>
            </w:r>
          </w:p>
        </w:tc>
        <w:tc>
          <w:tcPr>
            <w:tcW w:w="3070" w:type="dxa"/>
          </w:tcPr>
          <w:p w:rsidR="00924B55" w:rsidRPr="00B028A1" w:rsidRDefault="00B028A1" w:rsidP="0082084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28A1">
              <w:rPr>
                <w:rFonts w:ascii="Arial" w:hAnsi="Arial" w:cs="Arial"/>
                <w:sz w:val="22"/>
              </w:rPr>
              <w:t>3 válec diesel/22</w:t>
            </w:r>
            <w:r w:rsidR="00884F07">
              <w:rPr>
                <w:rFonts w:ascii="Arial" w:hAnsi="Arial" w:cs="Arial"/>
                <w:sz w:val="22"/>
              </w:rPr>
              <w:t>hp</w:t>
            </w:r>
          </w:p>
        </w:tc>
      </w:tr>
    </w:tbl>
    <w:p w:rsidR="00924B55" w:rsidRPr="007C3CE7" w:rsidRDefault="00924B55" w:rsidP="00924B55">
      <w:pPr>
        <w:spacing w:line="120" w:lineRule="auto"/>
        <w:jc w:val="both"/>
        <w:rPr>
          <w:rFonts w:ascii="Arial" w:hAnsi="Arial" w:cs="Arial"/>
          <w:b/>
          <w:color w:val="FF0000"/>
          <w:sz w:val="22"/>
        </w:rPr>
      </w:pPr>
    </w:p>
    <w:p w:rsidR="00924B55" w:rsidRPr="00591E27" w:rsidRDefault="00924B55" w:rsidP="00924B55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394100">
        <w:rPr>
          <w:rFonts w:ascii="Arial" w:hAnsi="Arial" w:cs="Arial"/>
          <w:sz w:val="22"/>
        </w:rPr>
        <w:t>specifikace</w:t>
      </w:r>
      <w:r w:rsidR="006F29A7">
        <w:rPr>
          <w:rFonts w:ascii="Arial" w:hAnsi="Arial" w:cs="Arial"/>
          <w:sz w:val="22"/>
        </w:rPr>
        <w:t xml:space="preserve"> 1</w:t>
      </w:r>
      <w:r w:rsidRPr="00394100">
        <w:rPr>
          <w:rFonts w:ascii="Arial" w:hAnsi="Arial" w:cs="Arial"/>
          <w:sz w:val="22"/>
        </w:rPr>
        <w:t xml:space="preserve"> ks</w:t>
      </w:r>
      <w:r w:rsidR="006F29A7" w:rsidRPr="006F29A7">
        <w:rPr>
          <w:rFonts w:ascii="Arial" w:hAnsi="Arial" w:cs="Arial"/>
        </w:rPr>
        <w:t xml:space="preserve"> </w:t>
      </w:r>
      <w:r w:rsidR="006F29A7" w:rsidRPr="006F29A7">
        <w:rPr>
          <w:rFonts w:ascii="Arial" w:hAnsi="Arial" w:cs="Arial"/>
          <w:sz w:val="22"/>
          <w:szCs w:val="22"/>
        </w:rPr>
        <w:t>malého transportního vozidla</w:t>
      </w:r>
      <w:r w:rsidRPr="00394100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a příslušenství je uvedena v</w:t>
      </w:r>
      <w:r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>
        <w:rPr>
          <w:rFonts w:ascii="Arial" w:hAnsi="Arial" w:cs="Arial"/>
          <w:sz w:val="22"/>
        </w:rPr>
        <w:t xml:space="preserve"> č. 1</w:t>
      </w:r>
      <w:r w:rsidRPr="00591E27">
        <w:rPr>
          <w:rFonts w:ascii="Arial" w:hAnsi="Arial" w:cs="Arial"/>
          <w:sz w:val="22"/>
        </w:rPr>
        <w:t xml:space="preserve"> kupní smlouvy</w:t>
      </w:r>
      <w:r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:rsidR="00924B55" w:rsidRPr="00591E27" w:rsidRDefault="00924B55" w:rsidP="00924B55">
      <w:pPr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:rsidR="00924B55" w:rsidRPr="00591E27" w:rsidRDefault="00924B55" w:rsidP="00924B55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:rsidR="00924B55" w:rsidRPr="00591E27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 </w:t>
      </w:r>
      <w:r>
        <w:rPr>
          <w:rFonts w:ascii="Arial" w:hAnsi="Arial" w:cs="Arial"/>
          <w:sz w:val="22"/>
        </w:rPr>
        <w:t xml:space="preserve">této </w:t>
      </w:r>
      <w:proofErr w:type="gramStart"/>
      <w:r w:rsidRPr="00591E27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 xml:space="preserve">  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činí</w:t>
      </w:r>
      <w:proofErr w:type="gramEnd"/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84F07" w:rsidRPr="000347E6">
        <w:rPr>
          <w:rFonts w:ascii="Arial" w:hAnsi="Arial" w:cs="Arial"/>
          <w:b/>
          <w:sz w:val="22"/>
        </w:rPr>
        <w:t>519 850</w:t>
      </w:r>
      <w:r w:rsidRPr="00591E27">
        <w:rPr>
          <w:rFonts w:ascii="Arial" w:hAnsi="Arial" w:cs="Arial"/>
          <w:sz w:val="22"/>
        </w:rPr>
        <w:t xml:space="preserve"> Kč bez DPH</w:t>
      </w:r>
      <w:r>
        <w:rPr>
          <w:rFonts w:ascii="Arial" w:hAnsi="Arial" w:cs="Arial"/>
          <w:sz w:val="22"/>
        </w:rPr>
        <w:t>,</w:t>
      </w:r>
      <w:r w:rsidRPr="00591E27">
        <w:rPr>
          <w:rFonts w:ascii="Arial" w:hAnsi="Arial" w:cs="Arial"/>
          <w:sz w:val="22"/>
        </w:rPr>
        <w:t xml:space="preserve"> </w:t>
      </w:r>
    </w:p>
    <w:p w:rsidR="00924B55" w:rsidRPr="00884F07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ke kupní ceně bude účtována DPH</w:t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="00884F07" w:rsidRPr="00884F07">
        <w:rPr>
          <w:rFonts w:ascii="Arial" w:hAnsi="Arial" w:cs="Arial"/>
          <w:b/>
          <w:sz w:val="22"/>
        </w:rPr>
        <w:t>109 169</w:t>
      </w:r>
      <w:r w:rsidRPr="00884F07">
        <w:rPr>
          <w:rFonts w:ascii="Arial" w:hAnsi="Arial" w:cs="Arial"/>
          <w:b/>
          <w:sz w:val="22"/>
        </w:rPr>
        <w:t xml:space="preserve"> </w:t>
      </w:r>
      <w:r w:rsidRPr="00884F07">
        <w:rPr>
          <w:rFonts w:ascii="Arial" w:hAnsi="Arial" w:cs="Arial"/>
          <w:sz w:val="22"/>
        </w:rPr>
        <w:t>Kč,</w:t>
      </w:r>
    </w:p>
    <w:p w:rsidR="00924B55" w:rsidRPr="00884F0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84F07">
        <w:rPr>
          <w:rFonts w:ascii="Arial" w:hAnsi="Arial" w:cs="Arial"/>
          <w:sz w:val="22"/>
          <w:szCs w:val="22"/>
        </w:rPr>
        <w:t>(v zákonné výši stanovené ke dni zdanitelného plnění)</w:t>
      </w:r>
    </w:p>
    <w:p w:rsidR="00924B55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884F07">
        <w:rPr>
          <w:rFonts w:ascii="Arial" w:hAnsi="Arial" w:cs="Arial"/>
          <w:b/>
          <w:sz w:val="22"/>
        </w:rPr>
        <w:t>cena celkem</w:t>
      </w:r>
      <w:r w:rsidRPr="00884F07">
        <w:rPr>
          <w:rFonts w:ascii="Arial" w:hAnsi="Arial" w:cs="Arial"/>
          <w:sz w:val="22"/>
        </w:rPr>
        <w:tab/>
      </w:r>
      <w:r w:rsidRPr="00884F07">
        <w:rPr>
          <w:rFonts w:ascii="Arial" w:hAnsi="Arial" w:cs="Arial"/>
          <w:sz w:val="22"/>
        </w:rPr>
        <w:tab/>
      </w:r>
      <w:r w:rsidRPr="00884F07">
        <w:rPr>
          <w:rFonts w:ascii="Arial" w:hAnsi="Arial" w:cs="Arial"/>
          <w:sz w:val="22"/>
        </w:rPr>
        <w:tab/>
      </w:r>
      <w:r w:rsidRPr="00884F07">
        <w:rPr>
          <w:rFonts w:ascii="Arial" w:hAnsi="Arial" w:cs="Arial"/>
          <w:sz w:val="22"/>
        </w:rPr>
        <w:tab/>
      </w:r>
      <w:r w:rsidRPr="00884F07">
        <w:rPr>
          <w:rFonts w:ascii="Arial" w:hAnsi="Arial" w:cs="Arial"/>
          <w:sz w:val="22"/>
        </w:rPr>
        <w:tab/>
      </w:r>
      <w:r w:rsidRPr="00884F07">
        <w:rPr>
          <w:rFonts w:ascii="Arial" w:hAnsi="Arial" w:cs="Arial"/>
          <w:sz w:val="22"/>
        </w:rPr>
        <w:tab/>
      </w:r>
      <w:r w:rsidRPr="00884F07">
        <w:rPr>
          <w:rFonts w:ascii="Arial" w:hAnsi="Arial" w:cs="Arial"/>
          <w:sz w:val="22"/>
        </w:rPr>
        <w:tab/>
      </w:r>
      <w:r w:rsidR="00884F07" w:rsidRPr="00884F07">
        <w:rPr>
          <w:rFonts w:ascii="Arial" w:hAnsi="Arial" w:cs="Arial"/>
          <w:b/>
          <w:sz w:val="22"/>
        </w:rPr>
        <w:t>629 019</w:t>
      </w:r>
      <w:r w:rsidRPr="00884F07">
        <w:rPr>
          <w:rFonts w:ascii="Arial" w:hAnsi="Arial" w:cs="Arial"/>
          <w:sz w:val="22"/>
        </w:rPr>
        <w:t xml:space="preserve"> Kč</w:t>
      </w:r>
      <w:r w:rsidRPr="00591E27">
        <w:rPr>
          <w:rFonts w:ascii="Arial" w:hAnsi="Arial" w:cs="Arial"/>
          <w:sz w:val="22"/>
        </w:rPr>
        <w:t xml:space="preserve"> včetně DPH</w:t>
      </w:r>
    </w:p>
    <w:p w:rsidR="00924B55" w:rsidRPr="00E46E8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924B55" w:rsidRPr="00E46E87" w:rsidRDefault="00924B55" w:rsidP="00924B55">
      <w:pPr>
        <w:pStyle w:val="Odstavecseseznamem"/>
        <w:numPr>
          <w:ilvl w:val="1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6E87">
        <w:rPr>
          <w:rFonts w:ascii="Arial" w:hAnsi="Arial" w:cs="Arial"/>
          <w:sz w:val="22"/>
          <w:szCs w:val="22"/>
        </w:rPr>
        <w:t xml:space="preserve">Podrobně je cena za předmět této smlouvy, včetně příslušenství a výbavy uvedena v příloze </w:t>
      </w:r>
      <w:r>
        <w:rPr>
          <w:rFonts w:ascii="Arial" w:hAnsi="Arial" w:cs="Arial"/>
          <w:sz w:val="22"/>
          <w:szCs w:val="22"/>
        </w:rPr>
        <w:t xml:space="preserve">č. 2 </w:t>
      </w:r>
      <w:proofErr w:type="gramStart"/>
      <w:r w:rsidRPr="00E46E87">
        <w:rPr>
          <w:rFonts w:ascii="Arial" w:hAnsi="Arial" w:cs="Arial"/>
          <w:sz w:val="22"/>
          <w:szCs w:val="22"/>
        </w:rPr>
        <w:t>této</w:t>
      </w:r>
      <w:proofErr w:type="gramEnd"/>
      <w:r w:rsidRPr="00E46E87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– cenová skladba</w:t>
      </w:r>
      <w:r w:rsidRPr="00E46E87">
        <w:rPr>
          <w:rFonts w:ascii="Arial" w:hAnsi="Arial" w:cs="Arial"/>
          <w:sz w:val="22"/>
          <w:szCs w:val="22"/>
        </w:rPr>
        <w:t>.</w:t>
      </w: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je </w:t>
      </w:r>
      <w:r w:rsidRPr="00855FB0">
        <w:rPr>
          <w:rFonts w:ascii="Arial" w:hAnsi="Arial" w:cs="Arial"/>
          <w:sz w:val="22"/>
        </w:rPr>
        <w:t>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</w:t>
      </w:r>
      <w:r w:rsidRPr="00820840">
        <w:rPr>
          <w:rFonts w:ascii="Arial" w:hAnsi="Arial" w:cs="Arial"/>
          <w:sz w:val="22"/>
        </w:rPr>
        <w:t xml:space="preserve">do </w:t>
      </w:r>
      <w:proofErr w:type="gramStart"/>
      <w:r w:rsidR="00820840" w:rsidRPr="00820840">
        <w:rPr>
          <w:rFonts w:ascii="Arial" w:hAnsi="Arial" w:cs="Arial"/>
          <w:sz w:val="22"/>
        </w:rPr>
        <w:t>30.11.2016</w:t>
      </w:r>
      <w:proofErr w:type="gramEnd"/>
      <w:r w:rsidRPr="00820840"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 xml:space="preserve"> Po uplynutí uvedené lhůty má kupující právo odstoupit od smlouvy.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:rsidR="00216B13" w:rsidRPr="00855FB0" w:rsidRDefault="00216B13" w:rsidP="00216B13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Pr="00855FB0">
        <w:rPr>
          <w:rFonts w:ascii="Arial" w:hAnsi="Arial" w:cs="Arial"/>
          <w:sz w:val="22"/>
          <w:szCs w:val="22"/>
        </w:rPr>
        <w:t xml:space="preserve">, </w:t>
      </w:r>
      <w:r w:rsidR="00855FB0" w:rsidRPr="00855FB0">
        <w:rPr>
          <w:rFonts w:ascii="Arial" w:hAnsi="Arial" w:cs="Arial"/>
          <w:b/>
          <w:sz w:val="22"/>
          <w:szCs w:val="22"/>
        </w:rPr>
        <w:t xml:space="preserve">provoz Chomutov: Spořická </w:t>
      </w:r>
      <w:proofErr w:type="gramStart"/>
      <w:r w:rsidR="00855FB0" w:rsidRPr="00855FB0">
        <w:rPr>
          <w:rFonts w:ascii="Arial" w:hAnsi="Arial" w:cs="Arial"/>
          <w:b/>
          <w:sz w:val="22"/>
          <w:szCs w:val="22"/>
        </w:rPr>
        <w:t>4949,           430 46</w:t>
      </w:r>
      <w:proofErr w:type="gramEnd"/>
      <w:r w:rsidR="00855FB0" w:rsidRPr="00855FB0">
        <w:rPr>
          <w:rFonts w:ascii="Arial" w:hAnsi="Arial" w:cs="Arial"/>
          <w:b/>
          <w:sz w:val="22"/>
          <w:szCs w:val="22"/>
        </w:rPr>
        <w:t xml:space="preserve"> Chomutov. </w:t>
      </w:r>
    </w:p>
    <w:p w:rsidR="00855FB0" w:rsidRDefault="00855FB0" w:rsidP="00216B13">
      <w:pPr>
        <w:ind w:left="360"/>
        <w:jc w:val="both"/>
        <w:rPr>
          <w:rFonts w:ascii="Arial" w:hAnsi="Arial" w:cs="Arial"/>
          <w:i/>
          <w:color w:val="FF0000"/>
          <w:sz w:val="22"/>
        </w:rPr>
      </w:pPr>
    </w:p>
    <w:p w:rsidR="00216B13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proofErr w:type="spellStart"/>
      <w:r w:rsidR="003933D3">
        <w:rPr>
          <w:rFonts w:ascii="Arial" w:hAnsi="Arial" w:cs="Arial"/>
          <w:sz w:val="22"/>
          <w:szCs w:val="22"/>
        </w:rPr>
        <w:t>xxxxxxxxxx</w:t>
      </w:r>
      <w:proofErr w:type="spellEnd"/>
      <w:r w:rsidRPr="00B64E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B64EB6">
        <w:rPr>
          <w:rFonts w:ascii="Arial" w:hAnsi="Arial" w:cs="Arial"/>
          <w:sz w:val="22"/>
        </w:rPr>
        <w:t>referent odboru obchodní přípravy investic, e-mail:</w:t>
      </w:r>
      <w:r>
        <w:rPr>
          <w:rFonts w:ascii="Arial" w:hAnsi="Arial" w:cs="Arial"/>
          <w:sz w:val="22"/>
        </w:rPr>
        <w:t xml:space="preserve"> </w:t>
      </w:r>
      <w:proofErr w:type="spellStart"/>
      <w:r w:rsidR="003933D3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</w:rPr>
        <w:t>,</w:t>
      </w:r>
      <w:r w:rsidRPr="00B64EB6">
        <w:rPr>
          <w:rFonts w:ascii="Arial" w:hAnsi="Arial" w:cs="Arial"/>
          <w:sz w:val="22"/>
        </w:rPr>
        <w:t xml:space="preserve"> tel.: </w:t>
      </w:r>
      <w:proofErr w:type="spellStart"/>
      <w:r w:rsidR="003933D3">
        <w:rPr>
          <w:rFonts w:ascii="Arial" w:hAnsi="Arial" w:cs="Arial"/>
          <w:sz w:val="22"/>
          <w:szCs w:val="22"/>
        </w:rPr>
        <w:t>xxxxxxxxxx</w:t>
      </w:r>
      <w:proofErr w:type="spellEnd"/>
    </w:p>
    <w:p w:rsidR="00216B13" w:rsidRPr="00B64EB6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216B13" w:rsidRPr="00ED3F6E" w:rsidRDefault="00216B13" w:rsidP="00216B13">
      <w:pPr>
        <w:autoSpaceDE w:val="0"/>
        <w:autoSpaceDN w:val="0"/>
        <w:adjustRightInd w:val="0"/>
        <w:ind w:firstLine="360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Prodávajícího </w:t>
      </w:r>
      <w:r w:rsidRPr="00820840">
        <w:rPr>
          <w:rFonts w:ascii="Arial" w:hAnsi="Arial" w:cs="Arial"/>
          <w:sz w:val="22"/>
        </w:rPr>
        <w:t>je</w:t>
      </w:r>
      <w:r w:rsidR="00BA3893" w:rsidRPr="00820840">
        <w:rPr>
          <w:rFonts w:ascii="Arial" w:hAnsi="Arial" w:cs="Arial"/>
          <w:sz w:val="22"/>
        </w:rPr>
        <w:t xml:space="preserve"> </w:t>
      </w:r>
      <w:proofErr w:type="spellStart"/>
      <w:r w:rsidR="003933D3">
        <w:rPr>
          <w:rFonts w:ascii="Arial" w:hAnsi="Arial" w:cs="Arial"/>
          <w:sz w:val="22"/>
          <w:szCs w:val="22"/>
        </w:rPr>
        <w:t>xxxxxxxxxx</w:t>
      </w:r>
      <w:proofErr w:type="spellEnd"/>
      <w:r w:rsidR="00BA3893" w:rsidRPr="00820840">
        <w:rPr>
          <w:rFonts w:ascii="Arial" w:hAnsi="Arial" w:cs="Arial"/>
          <w:sz w:val="22"/>
        </w:rPr>
        <w:t>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Převzetí nastane po provedené kontrole dod</w:t>
      </w:r>
      <w:r w:rsidRPr="00855FB0">
        <w:rPr>
          <w:rFonts w:ascii="Arial" w:hAnsi="Arial" w:cs="Arial"/>
          <w:sz w:val="22"/>
        </w:rPr>
        <w:t xml:space="preserve">ávky v místě plnění, vyzkoušení funkčnosti a zaškolení obsluhy. Piktogramy a popisy na </w:t>
      </w:r>
      <w:r w:rsidR="00855FB0" w:rsidRPr="00855FB0">
        <w:rPr>
          <w:rFonts w:ascii="Arial" w:hAnsi="Arial" w:cs="Arial"/>
          <w:sz w:val="22"/>
        </w:rPr>
        <w:t>vozidle a příslušenství</w:t>
      </w:r>
      <w:r w:rsidRPr="00855FB0">
        <w:rPr>
          <w:rFonts w:ascii="Arial" w:hAnsi="Arial" w:cs="Arial"/>
          <w:sz w:val="22"/>
        </w:rPr>
        <w:t xml:space="preserve"> musí odpovídat platným normám a být v českém jazyce. Každá dodávka musí obsahovat dodací list, který má tyto minimální náležitosti: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číselný kód dodávky (dle položek),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obchodní jméno prodávajícího,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nezaměnitelnou specifikaci dodaných položek.</w:t>
      </w:r>
    </w:p>
    <w:p w:rsidR="00216B13" w:rsidRPr="00855FB0" w:rsidRDefault="00216B13" w:rsidP="00216B13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dále prodávající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pro bezpečný provoz a údržbu, tj. </w:t>
      </w:r>
      <w:r w:rsidRPr="001A4630">
        <w:rPr>
          <w:rFonts w:ascii="Arial" w:hAnsi="Arial" w:cs="Arial"/>
          <w:sz w:val="22"/>
        </w:rPr>
        <w:t>zejména manuál</w:t>
      </w:r>
      <w:r w:rsidRPr="00855FB0">
        <w:rPr>
          <w:rFonts w:ascii="Arial" w:hAnsi="Arial" w:cs="Arial"/>
          <w:sz w:val="22"/>
        </w:rPr>
        <w:t xml:space="preserve">, technický průkaz, servisní knížku, katalog ND, </w:t>
      </w:r>
      <w:r w:rsidRPr="006C695F">
        <w:rPr>
          <w:rFonts w:ascii="Arial" w:hAnsi="Arial" w:cs="Arial"/>
          <w:sz w:val="22"/>
        </w:rPr>
        <w:t>prohlášení o shodě dle zá</w:t>
      </w:r>
      <w:r>
        <w:rPr>
          <w:rFonts w:ascii="Arial" w:hAnsi="Arial" w:cs="Arial"/>
          <w:sz w:val="22"/>
        </w:rPr>
        <w:t>k</w:t>
      </w:r>
      <w:r w:rsidRPr="006C695F">
        <w:rPr>
          <w:rFonts w:ascii="Arial" w:hAnsi="Arial" w:cs="Arial"/>
          <w:sz w:val="22"/>
        </w:rPr>
        <w:t>ona 22/</w:t>
      </w:r>
      <w:r>
        <w:rPr>
          <w:rFonts w:ascii="Arial" w:hAnsi="Arial" w:cs="Arial"/>
          <w:sz w:val="22"/>
        </w:rPr>
        <w:t>19</w:t>
      </w:r>
      <w:r w:rsidRPr="006C695F">
        <w:rPr>
          <w:rFonts w:ascii="Arial" w:hAnsi="Arial" w:cs="Arial"/>
          <w:sz w:val="22"/>
        </w:rPr>
        <w:t>97 Sb., nebo CE certifiká</w:t>
      </w:r>
      <w:r w:rsidRPr="00D95991">
        <w:rPr>
          <w:rFonts w:ascii="Arial" w:hAnsi="Arial" w:cs="Arial"/>
          <w:sz w:val="22"/>
        </w:rPr>
        <w:t xml:space="preserve">t, </w:t>
      </w:r>
      <w:r w:rsidRPr="00591E27">
        <w:rPr>
          <w:rFonts w:ascii="Arial" w:hAnsi="Arial" w:cs="Arial"/>
          <w:sz w:val="22"/>
        </w:rPr>
        <w:t xml:space="preserve">veškeré návody nutné k řádnému a </w:t>
      </w:r>
      <w:r w:rsidRPr="00855FB0">
        <w:rPr>
          <w:rFonts w:ascii="Arial" w:hAnsi="Arial" w:cs="Arial"/>
          <w:sz w:val="22"/>
        </w:rPr>
        <w:t>bezpečnému užívání předmětu této smlouvy, veškerou dokumentaci včetně elektrických a hydraulických obvodů, motoru a vybavení předmětu této smlouvy. Všechny doklady včetně dokumentace musí být v listinné podobě v českém jazyce a předány i na elektronickém nosiči dat.</w:t>
      </w:r>
    </w:p>
    <w:p w:rsidR="00216B13" w:rsidRPr="00855FB0" w:rsidRDefault="00216B13" w:rsidP="00216B13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855FB0">
        <w:rPr>
          <w:rFonts w:ascii="Arial" w:hAnsi="Arial" w:cs="Arial"/>
          <w:sz w:val="22"/>
        </w:rPr>
        <w:t>klíče k předmětu plnění a veškeré povinné vybavení, jež je součástí předmětu plnění.</w:t>
      </w:r>
    </w:p>
    <w:p w:rsidR="00216B13" w:rsidRPr="00591E27" w:rsidRDefault="00216B13" w:rsidP="00216B13">
      <w:pPr>
        <w:pStyle w:val="Zkladntext"/>
        <w:spacing w:line="120" w:lineRule="auto"/>
        <w:ind w:left="425" w:hanging="68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 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Pokud jde o právo z odpovědnosti za vady, má kupující vůči prodávajícímu tato práva a nároky:</w:t>
      </w:r>
    </w:p>
    <w:p w:rsidR="00216B13" w:rsidRPr="00591E27" w:rsidRDefault="00216B13" w:rsidP="00216B13">
      <w:pPr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do </w:t>
      </w:r>
      <w:r w:rsidR="000347E6" w:rsidRPr="000347E6">
        <w:rPr>
          <w:rFonts w:ascii="Arial" w:hAnsi="Arial" w:cs="Arial"/>
          <w:sz w:val="22"/>
        </w:rPr>
        <w:t>30</w:t>
      </w:r>
      <w:r>
        <w:rPr>
          <w:rFonts w:ascii="Arial" w:hAnsi="Arial" w:cs="Arial"/>
          <w:b/>
          <w:color w:val="FF0000"/>
          <w:sz w:val="22"/>
        </w:rPr>
        <w:t xml:space="preserve"> </w:t>
      </w:r>
      <w:r w:rsidRPr="00591E27">
        <w:rPr>
          <w:rFonts w:ascii="Arial" w:hAnsi="Arial" w:cs="Arial"/>
          <w:sz w:val="22"/>
        </w:rPr>
        <w:t xml:space="preserve">dnů od prokazatelného uplatnění reklamace. V případě, že není možné reklamovanou vadu odstranit z technického nebo ekonomického </w:t>
      </w:r>
      <w:r w:rsidRPr="008317D6">
        <w:rPr>
          <w:rFonts w:ascii="Arial" w:hAnsi="Arial" w:cs="Arial"/>
          <w:sz w:val="22"/>
        </w:rPr>
        <w:t xml:space="preserve">hlediska má právo žádat nové bezvadné plnění, které musí být dodáno nejpozději do </w:t>
      </w:r>
      <w:r w:rsidR="008317D6" w:rsidRPr="008317D6">
        <w:rPr>
          <w:rFonts w:ascii="Arial" w:hAnsi="Arial" w:cs="Arial"/>
          <w:sz w:val="22"/>
        </w:rPr>
        <w:t>90</w:t>
      </w:r>
      <w:r>
        <w:rPr>
          <w:rFonts w:ascii="Arial" w:hAnsi="Arial" w:cs="Arial"/>
          <w:b/>
          <w:color w:val="FF0000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dnů od prokazatelného uplatnění reklamace,</w:t>
      </w:r>
    </w:p>
    <w:p w:rsidR="00216B13" w:rsidRPr="00A54C25" w:rsidRDefault="00216B13" w:rsidP="00216B13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A54C25">
        <w:rPr>
          <w:rFonts w:ascii="Arial" w:hAnsi="Arial" w:cs="Arial"/>
          <w:color w:val="000000"/>
          <w:sz w:val="22"/>
        </w:rPr>
        <w:t>právo na poskytnutí slevy, odpovídající rozdílu ceny vadného a bezvadného předmětu smlouvy,</w:t>
      </w:r>
    </w:p>
    <w:p w:rsidR="00216B13" w:rsidRPr="00591E27" w:rsidRDefault="00216B13" w:rsidP="00216B13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:rsidR="00216B13" w:rsidRDefault="00216B13" w:rsidP="00216B13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:rsidR="008317D6" w:rsidRDefault="008317D6" w:rsidP="00216B13">
      <w:pPr>
        <w:ind w:left="426"/>
        <w:jc w:val="both"/>
        <w:rPr>
          <w:sz w:val="24"/>
          <w:szCs w:val="24"/>
        </w:rPr>
      </w:pPr>
    </w:p>
    <w:p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5.5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5.7</w:t>
      </w:r>
      <w:r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216B13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7.</w:t>
      </w:r>
      <w:r w:rsidRPr="00591E27">
        <w:rPr>
          <w:rFonts w:ascii="Arial" w:hAnsi="Arial" w:cs="Arial"/>
          <w:b/>
          <w:sz w:val="22"/>
          <w:u w:val="single"/>
        </w:rPr>
        <w:t xml:space="preserve"> Záruka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B87D72" w:rsidRDefault="00216B13" w:rsidP="00216B13">
      <w:pPr>
        <w:ind w:left="426" w:hanging="426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.1 </w:t>
      </w:r>
      <w:r w:rsidRPr="00B87D72">
        <w:rPr>
          <w:rFonts w:ascii="Arial" w:hAnsi="Arial" w:cs="Arial"/>
          <w:sz w:val="22"/>
          <w:szCs w:val="22"/>
        </w:rPr>
        <w:t xml:space="preserve">Záruka je poskytnuta v rozsahu a za podmínek uvedených v záručním listě, odsouhlasených oběma smluvními stranami. Prodávající je povinen seznámit kupujícího se zněním podmínek v záručním listě ve lhůtě podle článku </w:t>
      </w:r>
      <w:r w:rsidRPr="00E1263E">
        <w:rPr>
          <w:rFonts w:ascii="Arial" w:hAnsi="Arial" w:cs="Arial"/>
          <w:sz w:val="22"/>
          <w:szCs w:val="22"/>
        </w:rPr>
        <w:t>10.2</w:t>
      </w:r>
      <w:r w:rsidRPr="00B87D72">
        <w:rPr>
          <w:rFonts w:ascii="Arial" w:hAnsi="Arial" w:cs="Arial"/>
          <w:sz w:val="22"/>
          <w:szCs w:val="22"/>
        </w:rPr>
        <w:t xml:space="preserve"> této smlouvy. Prodávající poskytuje kupujícímu záruku na předmět smlouvy v délce </w:t>
      </w:r>
      <w:r w:rsidR="00820840" w:rsidRPr="00820840">
        <w:rPr>
          <w:rFonts w:ascii="Arial" w:hAnsi="Arial" w:cs="Arial"/>
          <w:b/>
          <w:sz w:val="22"/>
        </w:rPr>
        <w:t>24</w:t>
      </w:r>
      <w:r w:rsidRPr="00591E27">
        <w:rPr>
          <w:rFonts w:ascii="Arial" w:hAnsi="Arial" w:cs="Arial"/>
          <w:b/>
          <w:sz w:val="22"/>
        </w:rPr>
        <w:t xml:space="preserve"> měsíců</w:t>
      </w:r>
      <w:r>
        <w:rPr>
          <w:rFonts w:ascii="Arial" w:hAnsi="Arial" w:cs="Arial"/>
          <w:b/>
          <w:sz w:val="22"/>
        </w:rPr>
        <w:t xml:space="preserve"> </w:t>
      </w:r>
      <w:r w:rsidRPr="00B87D72">
        <w:rPr>
          <w:rFonts w:ascii="Arial" w:hAnsi="Arial" w:cs="Arial"/>
          <w:sz w:val="22"/>
          <w:szCs w:val="22"/>
        </w:rPr>
        <w:t>od předání předmětu této smlouvy.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E1263E" w:rsidRDefault="00216B13" w:rsidP="00216B13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 w:rsidRPr="00E1263E">
        <w:rPr>
          <w:rFonts w:ascii="Arial" w:hAnsi="Arial" w:cs="Arial"/>
          <w:b/>
          <w:sz w:val="22"/>
          <w:u w:val="single"/>
        </w:rPr>
        <w:t>8. Podmínky servisních prací</w:t>
      </w:r>
    </w:p>
    <w:p w:rsidR="00216B13" w:rsidRPr="00E1263E" w:rsidRDefault="00216B13" w:rsidP="00216B13">
      <w:pPr>
        <w:spacing w:line="120" w:lineRule="auto"/>
        <w:ind w:left="357" w:hanging="357"/>
        <w:jc w:val="center"/>
        <w:rPr>
          <w:rFonts w:ascii="Arial" w:hAnsi="Arial" w:cs="Arial"/>
          <w:b/>
          <w:sz w:val="22"/>
          <w:u w:val="single"/>
        </w:rPr>
      </w:pPr>
    </w:p>
    <w:p w:rsidR="00216B13" w:rsidRPr="00E1263E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 w:rsidRPr="00E1263E">
        <w:rPr>
          <w:rFonts w:ascii="Arial" w:hAnsi="Arial" w:cs="Arial"/>
          <w:sz w:val="22"/>
        </w:rPr>
        <w:t xml:space="preserve">8.1 Záruka prodávajícího uvedená v článku 7 je platná pouze za předpokladu, že kupující bude dodržovat termíny pravidelných servisních prohlídek na předmět smlouvy. Pravidelné servisní prohlídky budou prováděny v souladu s pokyny výrobce a to vždy po </w:t>
      </w:r>
      <w:r w:rsidR="008317D6" w:rsidRPr="008317D6">
        <w:rPr>
          <w:rFonts w:ascii="Arial" w:hAnsi="Arial" w:cs="Arial"/>
          <w:sz w:val="22"/>
        </w:rPr>
        <w:t>50</w:t>
      </w:r>
      <w:r w:rsidRPr="008317D6">
        <w:rPr>
          <w:rFonts w:ascii="Arial" w:hAnsi="Arial" w:cs="Arial"/>
          <w:sz w:val="22"/>
        </w:rPr>
        <w:t xml:space="preserve"> hodinách</w:t>
      </w:r>
      <w:r w:rsidRPr="00E1263E">
        <w:rPr>
          <w:rFonts w:ascii="Arial" w:hAnsi="Arial" w:cs="Arial"/>
          <w:sz w:val="22"/>
        </w:rPr>
        <w:t xml:space="preserve"> provozu a to na základě žádosti kupujícího o provedení pravidelné servisní prohlídky. Práce nad rámec pravidelné servisní prohlídky budou též provedeny na základě žádosti kupujícího o provedení těchto prací. Přesný rozsah pravidelných servisních prohlídek předmětu této smlouvy je uveden v servisní knížce předmětu plnění.</w:t>
      </w:r>
    </w:p>
    <w:p w:rsidR="00216B13" w:rsidRDefault="00216B13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p w:rsidR="00216B13" w:rsidRPr="00194A0A" w:rsidRDefault="00216B13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p w:rsidR="00216B13" w:rsidRDefault="00216B13" w:rsidP="00216B13">
      <w:pPr>
        <w:rPr>
          <w:rFonts w:ascii="Arial" w:hAnsi="Arial" w:cs="Arial"/>
          <w:b/>
          <w:sz w:val="22"/>
          <w:u w:val="single"/>
        </w:rPr>
      </w:pPr>
    </w:p>
    <w:p w:rsidR="008317D6" w:rsidRDefault="008317D6" w:rsidP="00216B13">
      <w:pPr>
        <w:rPr>
          <w:rFonts w:ascii="Arial" w:hAnsi="Arial" w:cs="Arial"/>
          <w:b/>
          <w:sz w:val="22"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9</w:t>
      </w:r>
      <w:r w:rsidRPr="00591E27">
        <w:rPr>
          <w:rFonts w:ascii="Arial" w:hAnsi="Arial" w:cs="Arial"/>
          <w:b/>
          <w:sz w:val="22"/>
          <w:u w:val="single"/>
        </w:rPr>
        <w:t xml:space="preserve">. Rozhodné právo 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</w:t>
      </w:r>
    </w:p>
    <w:p w:rsidR="00216B13" w:rsidRPr="00591E27" w:rsidRDefault="00216B13" w:rsidP="00216B13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9</w:t>
      </w:r>
      <w:r w:rsidRPr="00591E27">
        <w:rPr>
          <w:rFonts w:ascii="Arial" w:hAnsi="Arial" w:cs="Arial"/>
          <w:sz w:val="22"/>
        </w:rPr>
        <w:t>.1</w:t>
      </w:r>
      <w:r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Výklad smluv i všechny právní poměry z těchto smluv vyplý</w:t>
      </w:r>
      <w:r>
        <w:rPr>
          <w:rFonts w:ascii="Arial" w:hAnsi="Arial" w:cs="Arial"/>
          <w:sz w:val="22"/>
        </w:rPr>
        <w:t>vající, se řídí českým právem.</w:t>
      </w:r>
      <w:r w:rsidRPr="00591E27">
        <w:rPr>
          <w:rFonts w:ascii="Arial" w:hAnsi="Arial" w:cs="Arial"/>
          <w:sz w:val="22"/>
        </w:rPr>
        <w:t xml:space="preserve"> Jazykem smluv je čeština.</w:t>
      </w:r>
      <w:r w:rsidRPr="00591E27">
        <w:rPr>
          <w:rFonts w:ascii="Arial" w:hAnsi="Arial" w:cs="Arial"/>
        </w:rPr>
        <w:t xml:space="preserve">  </w:t>
      </w:r>
    </w:p>
    <w:p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Všechny spory, vzniklé z těchto smluv nebo v souvislosti s nimi, budou smluvní strany řešit především vzájemnou dohodou</w:t>
      </w:r>
      <w:r>
        <w:rPr>
          <w:rFonts w:ascii="Arial" w:hAnsi="Arial" w:cs="Arial"/>
          <w:sz w:val="22"/>
        </w:rPr>
        <w:t>,</w:t>
      </w:r>
      <w:r w:rsidRPr="00EA46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případě nedohody bude spor postoupen příslušnému soudu.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1</w:t>
      </w:r>
      <w:r>
        <w:rPr>
          <w:rFonts w:ascii="Arial" w:hAnsi="Arial" w:cs="Arial"/>
          <w:b/>
          <w:sz w:val="22"/>
          <w:u w:val="single"/>
        </w:rPr>
        <w:t>0</w:t>
      </w:r>
      <w:r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 xml:space="preserve">.1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Smlouva je platná a účinná dnem podpisu poslední smluvní stranou. </w:t>
      </w:r>
    </w:p>
    <w:p w:rsidR="00216B13" w:rsidRDefault="00216B13" w:rsidP="00216B13">
      <w:pPr>
        <w:ind w:left="357" w:hanging="357"/>
        <w:jc w:val="both"/>
        <w:rPr>
          <w:rFonts w:ascii="Arial" w:hAnsi="Arial" w:cs="Arial"/>
          <w:sz w:val="22"/>
        </w:rPr>
      </w:pPr>
    </w:p>
    <w:p w:rsidR="00216B13" w:rsidRPr="0073235F" w:rsidRDefault="00216B13" w:rsidP="001C40B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235F">
        <w:rPr>
          <w:rFonts w:ascii="Arial" w:hAnsi="Arial" w:cs="Arial"/>
          <w:sz w:val="22"/>
          <w:szCs w:val="22"/>
        </w:rPr>
        <w:t xml:space="preserve">10.2 Prodávající je povinen předložit kupujícímu veškeré součásti smlouvy, přílohy a další podklady, které vyžadují souhlas kupujícího, nejméně </w:t>
      </w:r>
      <w:r w:rsidRPr="001C40BB">
        <w:rPr>
          <w:rFonts w:ascii="Arial" w:hAnsi="Arial" w:cs="Arial"/>
          <w:sz w:val="22"/>
          <w:szCs w:val="22"/>
        </w:rPr>
        <w:t>10 dnů</w:t>
      </w:r>
      <w:r w:rsidRPr="0073235F">
        <w:rPr>
          <w:rFonts w:ascii="Arial" w:hAnsi="Arial" w:cs="Arial"/>
          <w:sz w:val="22"/>
          <w:szCs w:val="22"/>
        </w:rPr>
        <w:t xml:space="preserve"> před plánovaným převzetím předmětu smlouvy.</w:t>
      </w:r>
    </w:p>
    <w:p w:rsidR="00216B13" w:rsidRPr="00591E27" w:rsidRDefault="00216B13" w:rsidP="00216B13">
      <w:pPr>
        <w:ind w:left="357" w:hanging="357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Veškeré skutečnosti výrobní, technické a obchodní povahy, které mají souvislost s prodávajícím nebo kupujícím, a které nejsou běžně dostupné v obvyklém obchodním styku, a o kterých se smluvní strana při jednání o uzavírání smluv dozví, tvoří součást obchodního tajemství. Smluvní strana nesmí skutečnosti, se kterými se seznámí, použít pro svoji potřebu nebo je zveřejnit, či předat třetí osobě.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tabs>
          <w:tab w:val="num" w:pos="851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Tato smlouva může být měněna nebo doplňována výhradně písemnými dodatky, podepsanými smluvními stranami. 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Smlouva je vyhotovena ve čtyřech stejnopisech s platností originálu, přičemž každá ze smluvních stran obdrží po dvou oboustranně podepsaných vyhotoveních.</w:t>
      </w:r>
    </w:p>
    <w:p w:rsidR="00216B13" w:rsidRPr="00591E27" w:rsidRDefault="00216B13" w:rsidP="00216B13">
      <w:pPr>
        <w:pStyle w:val="Zkladntextodsazen3"/>
        <w:rPr>
          <w:rFonts w:ascii="Arial" w:hAnsi="Arial" w:cs="Arial"/>
        </w:rPr>
      </w:pPr>
    </w:p>
    <w:p w:rsidR="00216B13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10.6 </w:t>
      </w:r>
      <w:r w:rsidRPr="00591E27">
        <w:rPr>
          <w:rFonts w:ascii="Arial" w:hAnsi="Arial" w:cs="Arial"/>
          <w:sz w:val="22"/>
        </w:rPr>
        <w:t xml:space="preserve">Nedílnou součástí kupní smlouvy je příloha </w:t>
      </w:r>
      <w:r>
        <w:rPr>
          <w:rFonts w:ascii="Arial" w:hAnsi="Arial" w:cs="Arial"/>
          <w:sz w:val="22"/>
        </w:rPr>
        <w:t xml:space="preserve">č. 1 </w:t>
      </w:r>
      <w:r w:rsidRPr="00591E27">
        <w:rPr>
          <w:rFonts w:ascii="Arial" w:hAnsi="Arial" w:cs="Arial"/>
          <w:sz w:val="22"/>
        </w:rPr>
        <w:t>- Technická specifikace a</w:t>
      </w:r>
      <w:r>
        <w:rPr>
          <w:rFonts w:ascii="Arial" w:hAnsi="Arial" w:cs="Arial"/>
          <w:sz w:val="22"/>
        </w:rPr>
        <w:t xml:space="preserve"> příloha č. 2 - Cenová skladba.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10.7 </w:t>
      </w:r>
      <w:r w:rsidRPr="00591E27">
        <w:rPr>
          <w:rFonts w:ascii="Arial" w:hAnsi="Arial" w:cs="Arial"/>
          <w:sz w:val="22"/>
        </w:rPr>
        <w:t xml:space="preserve">Oprávnění zástupci smluvních stran po přečtení textu smlouvy prohlašují, že smlouva je sepsána určitě, vážně a srozumitelně, v souladu s jejich pravou a svobodnou vůlí. </w:t>
      </w:r>
    </w:p>
    <w:p w:rsidR="00216B13" w:rsidRPr="00591E27" w:rsidRDefault="00216B13" w:rsidP="00216B13">
      <w:pPr>
        <w:ind w:left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Smluvní strany dále potvrzují, že si smlouvu přečetly, že byla sjednána svobodně a vážně a nebyla ujednána v tísni, ani za jinak jednostranně nevýhodných podmínek. </w:t>
      </w: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206"/>
        <w:gridCol w:w="2020"/>
        <w:gridCol w:w="2300"/>
      </w:tblGrid>
      <w:tr w:rsidR="00BA3893" w:rsidRPr="00591E27" w:rsidTr="00820840">
        <w:trPr>
          <w:cantSplit/>
        </w:trPr>
        <w:tc>
          <w:tcPr>
            <w:tcW w:w="3684" w:type="dxa"/>
          </w:tcPr>
          <w:p w:rsidR="00BA3893" w:rsidRPr="00591E27" w:rsidRDefault="00BA3893" w:rsidP="003A3B06">
            <w:pPr>
              <w:rPr>
                <w:rFonts w:ascii="Arial" w:hAnsi="Arial" w:cs="Arial"/>
                <w:sz w:val="22"/>
              </w:rPr>
            </w:pPr>
            <w:r w:rsidRPr="00BA3893">
              <w:rPr>
                <w:rFonts w:ascii="Arial" w:hAnsi="Arial" w:cs="Arial"/>
                <w:sz w:val="22"/>
              </w:rPr>
              <w:t>V Modleticích dne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206" w:type="dxa"/>
            <w:vMerge w:val="restart"/>
          </w:tcPr>
          <w:p w:rsidR="00BA3893" w:rsidRPr="00591E27" w:rsidRDefault="00BA389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</w:tcPr>
          <w:p w:rsidR="00BA3893" w:rsidRPr="00591E27" w:rsidRDefault="00BA3893" w:rsidP="00820840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</w:tcPr>
          <w:p w:rsidR="00BA3893" w:rsidRPr="00591E27" w:rsidRDefault="00BA3893" w:rsidP="00820840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820840">
        <w:trPr>
          <w:cantSplit/>
          <w:trHeight w:val="501"/>
        </w:trPr>
        <w:tc>
          <w:tcPr>
            <w:tcW w:w="3684" w:type="dxa"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 </w:t>
            </w:r>
            <w:r w:rsidRPr="00591E27">
              <w:rPr>
                <w:rFonts w:ascii="Arial" w:hAnsi="Arial" w:cs="Arial"/>
                <w:sz w:val="22"/>
              </w:rPr>
              <w:t>Prodávající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06" w:type="dxa"/>
            <w:vMerge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  <w:r w:rsidR="003933D3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3933D3">
              <w:rPr>
                <w:rFonts w:ascii="Arial" w:hAnsi="Arial" w:cs="Arial"/>
                <w:sz w:val="22"/>
              </w:rPr>
              <w:t>24.6.2016</w:t>
            </w:r>
            <w:proofErr w:type="gramEnd"/>
          </w:p>
        </w:tc>
      </w:tr>
      <w:tr w:rsidR="00216B13" w:rsidRPr="00591E27" w:rsidTr="00820840">
        <w:trPr>
          <w:cantSplit/>
          <w:trHeight w:val="645"/>
        </w:trPr>
        <w:tc>
          <w:tcPr>
            <w:tcW w:w="3684" w:type="dxa"/>
          </w:tcPr>
          <w:p w:rsidR="00216B13" w:rsidRPr="00BA3893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</w:tcPr>
          <w:p w:rsidR="00216B13" w:rsidRDefault="00216B13" w:rsidP="00820840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820840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820840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820840">
            <w:pPr>
              <w:rPr>
                <w:rFonts w:ascii="Arial" w:hAnsi="Arial" w:cs="Arial"/>
                <w:sz w:val="22"/>
              </w:rPr>
            </w:pPr>
          </w:p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820840">
        <w:trPr>
          <w:cantSplit/>
        </w:trPr>
        <w:tc>
          <w:tcPr>
            <w:tcW w:w="3684" w:type="dxa"/>
          </w:tcPr>
          <w:p w:rsidR="00216B13" w:rsidRPr="00BA3893" w:rsidRDefault="00BA3893" w:rsidP="00820840">
            <w:pPr>
              <w:jc w:val="center"/>
              <w:rPr>
                <w:rFonts w:ascii="Arial" w:hAnsi="Arial" w:cs="Arial"/>
                <w:sz w:val="22"/>
              </w:rPr>
            </w:pPr>
            <w:r w:rsidRPr="00BA3893">
              <w:rPr>
                <w:rFonts w:ascii="Arial" w:hAnsi="Arial" w:cs="Arial"/>
                <w:sz w:val="22"/>
              </w:rPr>
              <w:t>ITTEC s.r.o.</w:t>
            </w:r>
          </w:p>
        </w:tc>
        <w:tc>
          <w:tcPr>
            <w:tcW w:w="1206" w:type="dxa"/>
            <w:vMerge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</w:tcPr>
          <w:p w:rsidR="00216B13" w:rsidRPr="00591E27" w:rsidRDefault="00216B13" w:rsidP="00820840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216B13" w:rsidRPr="00591E27" w:rsidTr="00820840">
        <w:trPr>
          <w:cantSplit/>
        </w:trPr>
        <w:tc>
          <w:tcPr>
            <w:tcW w:w="3684" w:type="dxa"/>
          </w:tcPr>
          <w:p w:rsidR="00216B13" w:rsidRPr="00BA3893" w:rsidRDefault="00BA3893" w:rsidP="00820840">
            <w:pPr>
              <w:jc w:val="center"/>
              <w:rPr>
                <w:rFonts w:ascii="Arial" w:hAnsi="Arial" w:cs="Arial"/>
                <w:sz w:val="22"/>
              </w:rPr>
            </w:pPr>
            <w:r w:rsidRPr="00BA3893">
              <w:rPr>
                <w:rFonts w:ascii="Arial" w:hAnsi="Arial" w:cs="Arial"/>
                <w:sz w:val="22"/>
              </w:rPr>
              <w:t>RNDr. Pavel Hrdina</w:t>
            </w:r>
          </w:p>
        </w:tc>
        <w:tc>
          <w:tcPr>
            <w:tcW w:w="1206" w:type="dxa"/>
            <w:vMerge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</w:tcPr>
          <w:p w:rsidR="00216B13" w:rsidRPr="00591E27" w:rsidRDefault="00216B13" w:rsidP="00820840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Ing. Ja</w:t>
            </w:r>
            <w:r>
              <w:rPr>
                <w:rFonts w:ascii="Arial" w:hAnsi="Arial" w:cs="Arial"/>
                <w:sz w:val="22"/>
              </w:rPr>
              <w:t>n Fischer</w:t>
            </w:r>
          </w:p>
        </w:tc>
      </w:tr>
      <w:tr w:rsidR="00216B13" w:rsidRPr="00591E27" w:rsidTr="00820840">
        <w:trPr>
          <w:cantSplit/>
        </w:trPr>
        <w:tc>
          <w:tcPr>
            <w:tcW w:w="3684" w:type="dxa"/>
          </w:tcPr>
          <w:p w:rsidR="00216B13" w:rsidRPr="00BA3893" w:rsidRDefault="00BA3893" w:rsidP="00820840">
            <w:pPr>
              <w:jc w:val="center"/>
              <w:rPr>
                <w:rFonts w:ascii="Arial" w:hAnsi="Arial" w:cs="Arial"/>
                <w:sz w:val="22"/>
              </w:rPr>
            </w:pPr>
            <w:r w:rsidRPr="00BA3893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06" w:type="dxa"/>
            <w:vMerge/>
          </w:tcPr>
          <w:p w:rsidR="00216B13" w:rsidRPr="00591E27" w:rsidRDefault="00216B13" w:rsidP="0082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</w:tcPr>
          <w:p w:rsidR="00216B13" w:rsidRPr="00591E27" w:rsidRDefault="00216B13" w:rsidP="00820840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bookmarkStart w:id="0" w:name="_GoBack"/>
      <w:bookmarkEnd w:id="0"/>
    </w:p>
    <w:sectPr w:rsidR="00216B13" w:rsidSect="00BF0EF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80" w:rsidRDefault="00797180">
      <w:r>
        <w:separator/>
      </w:r>
    </w:p>
  </w:endnote>
  <w:endnote w:type="continuationSeparator" w:id="0">
    <w:p w:rsidR="00797180" w:rsidRDefault="0079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60" w:rsidRDefault="007F3560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F3560" w:rsidRDefault="007F35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3560" w:rsidRDefault="007F3560">
            <w:pPr>
              <w:pStyle w:val="Zpat"/>
              <w:jc w:val="right"/>
            </w:pPr>
            <w:proofErr w:type="gramStart"/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proofErr w:type="gramEnd"/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B0BB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proofErr w:type="gramStart"/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gramEnd"/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B0BB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F3560" w:rsidRDefault="007F3560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60" w:rsidRDefault="007F3560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F3560" w:rsidRDefault="007F3560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80" w:rsidRDefault="00797180">
      <w:r>
        <w:separator/>
      </w:r>
    </w:p>
  </w:footnote>
  <w:footnote w:type="continuationSeparator" w:id="0">
    <w:p w:rsidR="00797180" w:rsidRDefault="0079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60" w:rsidRPr="00457CBB" w:rsidRDefault="007F3560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7F3560" w:rsidRDefault="007F3560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60" w:rsidRDefault="007F3560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659B"/>
    <w:rsid w:val="00030DDD"/>
    <w:rsid w:val="000343D5"/>
    <w:rsid w:val="000347E6"/>
    <w:rsid w:val="00041849"/>
    <w:rsid w:val="00045E19"/>
    <w:rsid w:val="00057FC2"/>
    <w:rsid w:val="00060441"/>
    <w:rsid w:val="000608B9"/>
    <w:rsid w:val="00071E2F"/>
    <w:rsid w:val="00084E23"/>
    <w:rsid w:val="00085F37"/>
    <w:rsid w:val="0009655A"/>
    <w:rsid w:val="00097164"/>
    <w:rsid w:val="000A03A3"/>
    <w:rsid w:val="000A3036"/>
    <w:rsid w:val="000A38EC"/>
    <w:rsid w:val="000B131A"/>
    <w:rsid w:val="000D0AAA"/>
    <w:rsid w:val="000D2FC9"/>
    <w:rsid w:val="000E0EE6"/>
    <w:rsid w:val="000F05B5"/>
    <w:rsid w:val="000F1C8D"/>
    <w:rsid w:val="00105A58"/>
    <w:rsid w:val="0010779E"/>
    <w:rsid w:val="0011328D"/>
    <w:rsid w:val="0013076B"/>
    <w:rsid w:val="00150BB2"/>
    <w:rsid w:val="001651D2"/>
    <w:rsid w:val="00171056"/>
    <w:rsid w:val="0017713F"/>
    <w:rsid w:val="0018224D"/>
    <w:rsid w:val="00185689"/>
    <w:rsid w:val="00185778"/>
    <w:rsid w:val="00186544"/>
    <w:rsid w:val="00192A4E"/>
    <w:rsid w:val="001936CF"/>
    <w:rsid w:val="00194A0A"/>
    <w:rsid w:val="00194BD7"/>
    <w:rsid w:val="00195812"/>
    <w:rsid w:val="001A286E"/>
    <w:rsid w:val="001A4630"/>
    <w:rsid w:val="001B1FD8"/>
    <w:rsid w:val="001C3166"/>
    <w:rsid w:val="001C40BB"/>
    <w:rsid w:val="001D6383"/>
    <w:rsid w:val="001E1627"/>
    <w:rsid w:val="001E3915"/>
    <w:rsid w:val="001E4D86"/>
    <w:rsid w:val="001E7FCB"/>
    <w:rsid w:val="001F69A7"/>
    <w:rsid w:val="001F6B00"/>
    <w:rsid w:val="002128ED"/>
    <w:rsid w:val="00216B13"/>
    <w:rsid w:val="00216D10"/>
    <w:rsid w:val="00231AFF"/>
    <w:rsid w:val="002340E9"/>
    <w:rsid w:val="00236F79"/>
    <w:rsid w:val="002426B1"/>
    <w:rsid w:val="002463F9"/>
    <w:rsid w:val="002467D8"/>
    <w:rsid w:val="0025340D"/>
    <w:rsid w:val="0025704F"/>
    <w:rsid w:val="002708E1"/>
    <w:rsid w:val="0027716B"/>
    <w:rsid w:val="00280521"/>
    <w:rsid w:val="0028234B"/>
    <w:rsid w:val="00290CB2"/>
    <w:rsid w:val="0029694C"/>
    <w:rsid w:val="002B5524"/>
    <w:rsid w:val="002B6189"/>
    <w:rsid w:val="002C327B"/>
    <w:rsid w:val="002C3852"/>
    <w:rsid w:val="002C47EC"/>
    <w:rsid w:val="002D1F04"/>
    <w:rsid w:val="002D3117"/>
    <w:rsid w:val="003001D0"/>
    <w:rsid w:val="0030035E"/>
    <w:rsid w:val="00301FF4"/>
    <w:rsid w:val="00303ADC"/>
    <w:rsid w:val="0031035B"/>
    <w:rsid w:val="00315B26"/>
    <w:rsid w:val="00316090"/>
    <w:rsid w:val="00320EC3"/>
    <w:rsid w:val="00323C07"/>
    <w:rsid w:val="00341B59"/>
    <w:rsid w:val="00346ECD"/>
    <w:rsid w:val="00360B49"/>
    <w:rsid w:val="003933D3"/>
    <w:rsid w:val="00394100"/>
    <w:rsid w:val="003A3B06"/>
    <w:rsid w:val="003A44A3"/>
    <w:rsid w:val="003A5C62"/>
    <w:rsid w:val="003B7470"/>
    <w:rsid w:val="003D679F"/>
    <w:rsid w:val="003F6D9D"/>
    <w:rsid w:val="004121CE"/>
    <w:rsid w:val="004160AF"/>
    <w:rsid w:val="00420F02"/>
    <w:rsid w:val="00432439"/>
    <w:rsid w:val="00432E20"/>
    <w:rsid w:val="00447522"/>
    <w:rsid w:val="004507CF"/>
    <w:rsid w:val="00453132"/>
    <w:rsid w:val="004536C9"/>
    <w:rsid w:val="00457CBB"/>
    <w:rsid w:val="004617E3"/>
    <w:rsid w:val="00481E94"/>
    <w:rsid w:val="0048663D"/>
    <w:rsid w:val="00486A58"/>
    <w:rsid w:val="00490610"/>
    <w:rsid w:val="004929A9"/>
    <w:rsid w:val="004B0BB6"/>
    <w:rsid w:val="004B3093"/>
    <w:rsid w:val="004B572E"/>
    <w:rsid w:val="004B7337"/>
    <w:rsid w:val="004D2BCF"/>
    <w:rsid w:val="004E644A"/>
    <w:rsid w:val="004E65E3"/>
    <w:rsid w:val="00501F5A"/>
    <w:rsid w:val="005057FA"/>
    <w:rsid w:val="005066AA"/>
    <w:rsid w:val="005078E3"/>
    <w:rsid w:val="0051332E"/>
    <w:rsid w:val="00526B5D"/>
    <w:rsid w:val="00531C74"/>
    <w:rsid w:val="0054490E"/>
    <w:rsid w:val="00544F9D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C3D19"/>
    <w:rsid w:val="005C678A"/>
    <w:rsid w:val="005D1A9A"/>
    <w:rsid w:val="005D6920"/>
    <w:rsid w:val="005F4C76"/>
    <w:rsid w:val="005F6166"/>
    <w:rsid w:val="00603485"/>
    <w:rsid w:val="00606897"/>
    <w:rsid w:val="00620D0E"/>
    <w:rsid w:val="00624508"/>
    <w:rsid w:val="00630782"/>
    <w:rsid w:val="0063557D"/>
    <w:rsid w:val="00637ADA"/>
    <w:rsid w:val="00640EF8"/>
    <w:rsid w:val="00645DC7"/>
    <w:rsid w:val="0066020A"/>
    <w:rsid w:val="00672265"/>
    <w:rsid w:val="006750FB"/>
    <w:rsid w:val="006769BE"/>
    <w:rsid w:val="006955B9"/>
    <w:rsid w:val="00696075"/>
    <w:rsid w:val="006B0B09"/>
    <w:rsid w:val="006B27E1"/>
    <w:rsid w:val="006C3A0A"/>
    <w:rsid w:val="006D2D86"/>
    <w:rsid w:val="006D3824"/>
    <w:rsid w:val="006E7A85"/>
    <w:rsid w:val="006F29A7"/>
    <w:rsid w:val="007045D7"/>
    <w:rsid w:val="0070500B"/>
    <w:rsid w:val="00710767"/>
    <w:rsid w:val="0071252B"/>
    <w:rsid w:val="00715AC7"/>
    <w:rsid w:val="00716707"/>
    <w:rsid w:val="00725E69"/>
    <w:rsid w:val="0073235F"/>
    <w:rsid w:val="00735B3A"/>
    <w:rsid w:val="00737BF1"/>
    <w:rsid w:val="00751D97"/>
    <w:rsid w:val="00761A46"/>
    <w:rsid w:val="00783D8D"/>
    <w:rsid w:val="007921B5"/>
    <w:rsid w:val="0079688D"/>
    <w:rsid w:val="00797180"/>
    <w:rsid w:val="007B475B"/>
    <w:rsid w:val="007C3323"/>
    <w:rsid w:val="007C3CE7"/>
    <w:rsid w:val="007D2397"/>
    <w:rsid w:val="007D31D1"/>
    <w:rsid w:val="007D5993"/>
    <w:rsid w:val="007D5BEF"/>
    <w:rsid w:val="007D7293"/>
    <w:rsid w:val="007E08AE"/>
    <w:rsid w:val="007E4FC3"/>
    <w:rsid w:val="007F3560"/>
    <w:rsid w:val="00803C57"/>
    <w:rsid w:val="0080438F"/>
    <w:rsid w:val="00812FF9"/>
    <w:rsid w:val="00820840"/>
    <w:rsid w:val="00830DE5"/>
    <w:rsid w:val="008317D6"/>
    <w:rsid w:val="0083572F"/>
    <w:rsid w:val="0084300C"/>
    <w:rsid w:val="00855FB0"/>
    <w:rsid w:val="00856C1A"/>
    <w:rsid w:val="00864FDE"/>
    <w:rsid w:val="00884F07"/>
    <w:rsid w:val="008B366C"/>
    <w:rsid w:val="008C6CAF"/>
    <w:rsid w:val="008D01E2"/>
    <w:rsid w:val="008D1E40"/>
    <w:rsid w:val="008E454F"/>
    <w:rsid w:val="008E684F"/>
    <w:rsid w:val="008F0FAB"/>
    <w:rsid w:val="008F7919"/>
    <w:rsid w:val="009006AF"/>
    <w:rsid w:val="00906D15"/>
    <w:rsid w:val="00924B55"/>
    <w:rsid w:val="00933584"/>
    <w:rsid w:val="00953BBD"/>
    <w:rsid w:val="00965959"/>
    <w:rsid w:val="00966EF3"/>
    <w:rsid w:val="009704A4"/>
    <w:rsid w:val="009715B2"/>
    <w:rsid w:val="0098402E"/>
    <w:rsid w:val="00991523"/>
    <w:rsid w:val="009A1D52"/>
    <w:rsid w:val="009B3696"/>
    <w:rsid w:val="009C7F87"/>
    <w:rsid w:val="009D3939"/>
    <w:rsid w:val="009D5790"/>
    <w:rsid w:val="009F2CAE"/>
    <w:rsid w:val="009F5470"/>
    <w:rsid w:val="009F7403"/>
    <w:rsid w:val="00A0565E"/>
    <w:rsid w:val="00A4532E"/>
    <w:rsid w:val="00A51749"/>
    <w:rsid w:val="00A54C25"/>
    <w:rsid w:val="00A753B2"/>
    <w:rsid w:val="00A80A44"/>
    <w:rsid w:val="00A836A9"/>
    <w:rsid w:val="00A95D06"/>
    <w:rsid w:val="00A96F1F"/>
    <w:rsid w:val="00AA3FB5"/>
    <w:rsid w:val="00AA548B"/>
    <w:rsid w:val="00AB259B"/>
    <w:rsid w:val="00AC4428"/>
    <w:rsid w:val="00AD204B"/>
    <w:rsid w:val="00AD20DF"/>
    <w:rsid w:val="00AD54A4"/>
    <w:rsid w:val="00AD5843"/>
    <w:rsid w:val="00AE69D4"/>
    <w:rsid w:val="00AE70D1"/>
    <w:rsid w:val="00AF0E2F"/>
    <w:rsid w:val="00AF6E4B"/>
    <w:rsid w:val="00B020C9"/>
    <w:rsid w:val="00B028A1"/>
    <w:rsid w:val="00B04FC5"/>
    <w:rsid w:val="00B12373"/>
    <w:rsid w:val="00B13C81"/>
    <w:rsid w:val="00B24299"/>
    <w:rsid w:val="00B37489"/>
    <w:rsid w:val="00B3794C"/>
    <w:rsid w:val="00B406FF"/>
    <w:rsid w:val="00B4721E"/>
    <w:rsid w:val="00B56E8C"/>
    <w:rsid w:val="00B62056"/>
    <w:rsid w:val="00B648B3"/>
    <w:rsid w:val="00B70053"/>
    <w:rsid w:val="00B87D72"/>
    <w:rsid w:val="00B913AF"/>
    <w:rsid w:val="00B91E24"/>
    <w:rsid w:val="00B95D9C"/>
    <w:rsid w:val="00BA3893"/>
    <w:rsid w:val="00BB50A0"/>
    <w:rsid w:val="00BD3EBA"/>
    <w:rsid w:val="00BF0EF3"/>
    <w:rsid w:val="00C102D0"/>
    <w:rsid w:val="00C2088F"/>
    <w:rsid w:val="00C332B0"/>
    <w:rsid w:val="00C354B0"/>
    <w:rsid w:val="00C42913"/>
    <w:rsid w:val="00C55E39"/>
    <w:rsid w:val="00C63C01"/>
    <w:rsid w:val="00C67CD7"/>
    <w:rsid w:val="00C84E58"/>
    <w:rsid w:val="00C87410"/>
    <w:rsid w:val="00C915D6"/>
    <w:rsid w:val="00C97AC0"/>
    <w:rsid w:val="00CA2E45"/>
    <w:rsid w:val="00CB0526"/>
    <w:rsid w:val="00CB3F87"/>
    <w:rsid w:val="00CC3212"/>
    <w:rsid w:val="00CC4902"/>
    <w:rsid w:val="00CD6AD2"/>
    <w:rsid w:val="00CE1D84"/>
    <w:rsid w:val="00CE5110"/>
    <w:rsid w:val="00CE5337"/>
    <w:rsid w:val="00D03CB0"/>
    <w:rsid w:val="00D05309"/>
    <w:rsid w:val="00D244C4"/>
    <w:rsid w:val="00D25742"/>
    <w:rsid w:val="00D25888"/>
    <w:rsid w:val="00D26780"/>
    <w:rsid w:val="00D3342D"/>
    <w:rsid w:val="00D54B78"/>
    <w:rsid w:val="00D6266B"/>
    <w:rsid w:val="00D6300D"/>
    <w:rsid w:val="00D87191"/>
    <w:rsid w:val="00D91FCC"/>
    <w:rsid w:val="00D9206E"/>
    <w:rsid w:val="00D943AC"/>
    <w:rsid w:val="00D95598"/>
    <w:rsid w:val="00D95991"/>
    <w:rsid w:val="00D96FF9"/>
    <w:rsid w:val="00DA4274"/>
    <w:rsid w:val="00DA7B35"/>
    <w:rsid w:val="00DC424D"/>
    <w:rsid w:val="00DE075F"/>
    <w:rsid w:val="00DE3C96"/>
    <w:rsid w:val="00DF52BB"/>
    <w:rsid w:val="00DF5E29"/>
    <w:rsid w:val="00DF70DA"/>
    <w:rsid w:val="00E001DF"/>
    <w:rsid w:val="00E1263E"/>
    <w:rsid w:val="00E13680"/>
    <w:rsid w:val="00E15A0B"/>
    <w:rsid w:val="00E25998"/>
    <w:rsid w:val="00E3219F"/>
    <w:rsid w:val="00E326FC"/>
    <w:rsid w:val="00E4493E"/>
    <w:rsid w:val="00E46589"/>
    <w:rsid w:val="00E46E87"/>
    <w:rsid w:val="00E54C20"/>
    <w:rsid w:val="00E668BE"/>
    <w:rsid w:val="00E66D49"/>
    <w:rsid w:val="00E74D0F"/>
    <w:rsid w:val="00E91E5B"/>
    <w:rsid w:val="00E9522A"/>
    <w:rsid w:val="00E972A1"/>
    <w:rsid w:val="00EA0FB6"/>
    <w:rsid w:val="00EA2036"/>
    <w:rsid w:val="00EA4625"/>
    <w:rsid w:val="00EB10A5"/>
    <w:rsid w:val="00EB66C8"/>
    <w:rsid w:val="00EC23BA"/>
    <w:rsid w:val="00EC6530"/>
    <w:rsid w:val="00ED191B"/>
    <w:rsid w:val="00ED3F6E"/>
    <w:rsid w:val="00EF14DC"/>
    <w:rsid w:val="00EF1518"/>
    <w:rsid w:val="00F039E5"/>
    <w:rsid w:val="00F07083"/>
    <w:rsid w:val="00F12975"/>
    <w:rsid w:val="00F1461E"/>
    <w:rsid w:val="00F14C49"/>
    <w:rsid w:val="00F33857"/>
    <w:rsid w:val="00F54572"/>
    <w:rsid w:val="00FA7DE4"/>
    <w:rsid w:val="00FC2DA2"/>
    <w:rsid w:val="00FC3CD8"/>
    <w:rsid w:val="00FD4825"/>
    <w:rsid w:val="00FD6994"/>
    <w:rsid w:val="00FD6CDA"/>
    <w:rsid w:val="00FE09C3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F103-480C-41AC-9600-ECCE9B5C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1622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3</cp:revision>
  <cp:lastPrinted>2016-06-06T12:04:00Z</cp:lastPrinted>
  <dcterms:created xsi:type="dcterms:W3CDTF">2019-10-10T13:06:00Z</dcterms:created>
  <dcterms:modified xsi:type="dcterms:W3CDTF">2019-10-10T13:07:00Z</dcterms:modified>
  <cp:category>Výběrové řízení</cp:category>
</cp:coreProperties>
</file>