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TOPMES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Štěrboholská 1307/44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Praha 15, 102 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CZ00541940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00541940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30. 11. 2016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Pavel Zahrádka, VTP hala F2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16E1037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Morseova 1244/4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85800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301 00 Plzeň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ze dne  24.10.2016: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Pronájem 3D měřícího ramene cena celkem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212 500,00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212 500,00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212 500,00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Pavel ZAHRÁDKA, telefon: 378371922,email: pavel.zahradka@cvrez.cz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16NO01989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