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SENSIT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Školní 2610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Rožnov pod Radhoštěm, 756 61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CZ64087484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64087484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24. 11. 2016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15D0005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85700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ze dne 22.11.2016: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Sada profilových termočlánkových sond,    cena celkem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105 450,00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105 450,00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(specifikace v příloze)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105 450,00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Bc. Vít KLÍMA, telefon: 266173515,email: vit.klima@cvrez.cz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16NO01946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