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VPK servis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Na Průhonu 513/24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Skvrňany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303 00 Plzeň 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CZ48364428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48364428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8123740267/0100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16. 11. 2016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16D0002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97-16 ze dne 21.10.2016: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výrobu nerezových van 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170 000,00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170 000,00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170 000,00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Petr POLÍVKA, telefon: 266173566,email: Petr.Polivka@cvrez.cz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16NO01880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