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STRUERS GmbH, organizační složka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Vědeckotechnický park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Přílepská 1920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252 63 Roztoky u Prahy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CZ26771209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26771209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801399007/2700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2. 11. 2016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85800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Přesný držák vzorků pro metalografickou pilu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185 000,00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185 000,00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185 000,00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Petra KREJČOVÁ, telefon: 266172671,email: Petra.Krejcova@cvrez.cz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16NO01759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