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9A47B6" w:rsidR="00B4795D" w:rsidRDefault="00CD7BCE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PRÁVNÍCH SLUŽEB</w:t>
      </w:r>
    </w:p>
    <w:p w14:paraId="00000002" w14:textId="77777777" w:rsidR="00B4795D" w:rsidRPr="005A32F2" w:rsidRDefault="00CD7BCE" w:rsidP="005A32F2">
      <w:pPr>
        <w:spacing w:after="0"/>
        <w:jc w:val="center"/>
      </w:pPr>
      <w:r w:rsidRPr="005A32F2">
        <w:t xml:space="preserve">uzavřená níže uvedeného dne v souladu s </w:t>
      </w:r>
      <w:proofErr w:type="spellStart"/>
      <w:r w:rsidRPr="005A32F2">
        <w:t>ust</w:t>
      </w:r>
      <w:proofErr w:type="spellEnd"/>
      <w:r w:rsidRPr="005A32F2">
        <w:t>. § 2430 a násl. zákona č. 89/2012 Sb., občanského zákoníku, ve znění pozdějších předpisů a v souladu se zákonem č. 85/1996 Sb., o advokacii, mezi následujícími smluvními stranami:</w:t>
      </w:r>
    </w:p>
    <w:p w14:paraId="00000003" w14:textId="77777777" w:rsidR="00B4795D" w:rsidRPr="005A32F2" w:rsidRDefault="00B4795D" w:rsidP="005A32F2">
      <w:pPr>
        <w:spacing w:after="0"/>
        <w:rPr>
          <w:b/>
        </w:rPr>
      </w:pPr>
    </w:p>
    <w:p w14:paraId="00000004" w14:textId="77777777" w:rsidR="00B4795D" w:rsidRPr="005A32F2" w:rsidRDefault="00CD7BCE" w:rsidP="005A32F2">
      <w:pPr>
        <w:spacing w:after="0"/>
        <w:rPr>
          <w:b/>
        </w:rPr>
      </w:pPr>
      <w:r w:rsidRPr="005A32F2">
        <w:rPr>
          <w:b/>
        </w:rPr>
        <w:t>Mgr. Markéta Koubíková, advokátka</w:t>
      </w:r>
    </w:p>
    <w:p w14:paraId="00000005" w14:textId="14C4E77E" w:rsidR="00B4795D" w:rsidRPr="005A32F2" w:rsidRDefault="00CD7BCE" w:rsidP="005A32F2">
      <w:pPr>
        <w:spacing w:after="0"/>
      </w:pPr>
      <w:r w:rsidRPr="005A32F2">
        <w:t>ev. č. ČAK 15748</w:t>
      </w:r>
    </w:p>
    <w:p w14:paraId="00000006" w14:textId="60F17DED" w:rsidR="00B4795D" w:rsidRPr="005A32F2" w:rsidRDefault="00CD7BCE" w:rsidP="005A32F2">
      <w:pPr>
        <w:spacing w:after="0"/>
      </w:pPr>
      <w:r w:rsidRPr="005A32F2">
        <w:t>IČO: 031 68 930</w:t>
      </w:r>
    </w:p>
    <w:p w14:paraId="00000007" w14:textId="4DFBB53E" w:rsidR="00B4795D" w:rsidRPr="005A32F2" w:rsidRDefault="00CD7BCE" w:rsidP="005A32F2">
      <w:pPr>
        <w:spacing w:after="0"/>
      </w:pPr>
      <w:r w:rsidRPr="005A32F2">
        <w:t>se sídlem Pplk. Sochora 1391/4, Praha 7</w:t>
      </w:r>
      <w:r w:rsidR="00090117" w:rsidRPr="005A32F2">
        <w:t>, PSČ 170 00</w:t>
      </w:r>
    </w:p>
    <w:p w14:paraId="00000008" w14:textId="42BDC14C" w:rsidR="00B4795D" w:rsidRPr="005A32F2" w:rsidRDefault="00CD7BCE" w:rsidP="005A32F2">
      <w:pPr>
        <w:spacing w:after="0"/>
      </w:pPr>
      <w:r w:rsidRPr="005A32F2">
        <w:t>(dále jen „</w:t>
      </w:r>
      <w:r w:rsidRPr="005A32F2">
        <w:rPr>
          <w:b/>
        </w:rPr>
        <w:t>mandatář</w:t>
      </w:r>
      <w:r w:rsidRPr="005A32F2">
        <w:t>“)</w:t>
      </w:r>
    </w:p>
    <w:p w14:paraId="04AD5E16" w14:textId="77777777" w:rsidR="00090117" w:rsidRPr="005A32F2" w:rsidRDefault="00090117" w:rsidP="005A32F2">
      <w:pPr>
        <w:spacing w:after="0"/>
      </w:pPr>
    </w:p>
    <w:p w14:paraId="00000009" w14:textId="77777777" w:rsidR="00B4795D" w:rsidRPr="005A32F2" w:rsidRDefault="00CD7BCE" w:rsidP="005A32F2">
      <w:pPr>
        <w:spacing w:before="120" w:after="0"/>
      </w:pPr>
      <w:r w:rsidRPr="005A32F2">
        <w:t>a</w:t>
      </w:r>
    </w:p>
    <w:p w14:paraId="1CDA17EE" w14:textId="77777777" w:rsidR="00090117" w:rsidRPr="005A32F2" w:rsidRDefault="00090117" w:rsidP="005A32F2">
      <w:pPr>
        <w:spacing w:after="0"/>
        <w:rPr>
          <w:b/>
        </w:rPr>
      </w:pPr>
    </w:p>
    <w:p w14:paraId="782731DF" w14:textId="27AB50E3" w:rsidR="00390628" w:rsidRDefault="00090117" w:rsidP="005A32F2">
      <w:pPr>
        <w:spacing w:after="0"/>
        <w:rPr>
          <w:b/>
        </w:rPr>
      </w:pPr>
      <w:r w:rsidRPr="005A32F2">
        <w:rPr>
          <w:b/>
        </w:rPr>
        <w:t xml:space="preserve">Ústav chemických procesů AV ČR, </w:t>
      </w:r>
      <w:proofErr w:type="spellStart"/>
      <w:r w:rsidRPr="005A32F2">
        <w:rPr>
          <w:b/>
        </w:rPr>
        <w:t>v.v.i</w:t>
      </w:r>
      <w:proofErr w:type="spellEnd"/>
      <w:r w:rsidRPr="005A32F2">
        <w:rPr>
          <w:b/>
        </w:rPr>
        <w:t>.</w:t>
      </w:r>
    </w:p>
    <w:p w14:paraId="0000000C" w14:textId="7A8DC6BB" w:rsidR="00B4795D" w:rsidRDefault="00536C0D" w:rsidP="005A32F2">
      <w:pPr>
        <w:spacing w:after="0"/>
      </w:pPr>
      <w:r>
        <w:t>IČO 679 85 858</w:t>
      </w:r>
      <w:r w:rsidR="00CD7BCE" w:rsidRPr="005A32F2">
        <w:t>se sídlem</w:t>
      </w:r>
      <w:r w:rsidR="00090117" w:rsidRPr="005A32F2">
        <w:t xml:space="preserve"> Rozvojová 1/135</w:t>
      </w:r>
      <w:r>
        <w:t>, Praha 6, PSČ 165 00</w:t>
      </w:r>
    </w:p>
    <w:p w14:paraId="0C83FF42" w14:textId="77777777" w:rsidR="00536C0D" w:rsidRPr="00536C0D" w:rsidRDefault="00536C0D" w:rsidP="00536C0D">
      <w:pPr>
        <w:spacing w:after="0"/>
      </w:pPr>
      <w:r>
        <w:t>z</w:t>
      </w:r>
      <w:r w:rsidRPr="00536C0D">
        <w:t xml:space="preserve">apsaný </w:t>
      </w:r>
      <w:r>
        <w:t>v rejstříku veřejných výzkumných institucí vedeném MŠMT ČR</w:t>
      </w:r>
    </w:p>
    <w:p w14:paraId="6D428FA0" w14:textId="19E87198" w:rsidR="00536C0D" w:rsidRPr="005A32F2" w:rsidRDefault="00536C0D" w:rsidP="005A32F2">
      <w:pPr>
        <w:spacing w:after="0"/>
      </w:pPr>
      <w:r w:rsidRPr="00FB57FA">
        <w:rPr>
          <w:highlight w:val="black"/>
        </w:rPr>
        <w:t xml:space="preserve">zastoupen Ing. Miroslavem Punčochářem, CSc., </w:t>
      </w:r>
      <w:proofErr w:type="spellStart"/>
      <w:r w:rsidRPr="00FB57FA">
        <w:rPr>
          <w:highlight w:val="black"/>
        </w:rPr>
        <w:t>DSc</w:t>
      </w:r>
      <w:proofErr w:type="spellEnd"/>
      <w:r w:rsidRPr="00FB57FA">
        <w:rPr>
          <w:highlight w:val="black"/>
        </w:rPr>
        <w:t>., ředitelem</w:t>
      </w:r>
    </w:p>
    <w:p w14:paraId="0000000E" w14:textId="18698C10" w:rsidR="00B4795D" w:rsidRPr="005A32F2" w:rsidRDefault="00CD7BCE" w:rsidP="005A32F2">
      <w:pPr>
        <w:spacing w:after="0"/>
      </w:pPr>
      <w:r w:rsidRPr="005A32F2">
        <w:t>(dále jen „</w:t>
      </w:r>
      <w:r w:rsidRPr="005A32F2">
        <w:rPr>
          <w:b/>
        </w:rPr>
        <w:t>klient</w:t>
      </w:r>
      <w:r w:rsidRPr="005A32F2">
        <w:t>“)</w:t>
      </w:r>
    </w:p>
    <w:p w14:paraId="0000000F" w14:textId="77777777" w:rsidR="00B4795D" w:rsidRPr="005A32F2" w:rsidRDefault="00B4795D" w:rsidP="005A32F2">
      <w:pPr>
        <w:keepNext/>
        <w:spacing w:before="360" w:after="0"/>
        <w:jc w:val="center"/>
        <w:rPr>
          <w:b/>
        </w:rPr>
      </w:pPr>
    </w:p>
    <w:p w14:paraId="00000010" w14:textId="77777777" w:rsidR="00B4795D" w:rsidRPr="005A32F2" w:rsidRDefault="00CD7BCE" w:rsidP="005A32F2">
      <w:pPr>
        <w:keepNext/>
        <w:spacing w:after="0"/>
        <w:jc w:val="center"/>
        <w:rPr>
          <w:b/>
        </w:rPr>
      </w:pPr>
      <w:r w:rsidRPr="005A32F2">
        <w:rPr>
          <w:b/>
        </w:rPr>
        <w:t>Článek I</w:t>
      </w:r>
    </w:p>
    <w:p w14:paraId="00000011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Předmět smlouvy a rozsah poskytování služeb mandatáře</w:t>
      </w:r>
    </w:p>
    <w:p w14:paraId="00000012" w14:textId="021A99F0" w:rsidR="00B4795D" w:rsidRPr="005A32F2" w:rsidRDefault="00765360" w:rsidP="005A32F2">
      <w:pPr>
        <w:ind w:left="567" w:hanging="567"/>
      </w:pPr>
      <w:r w:rsidRPr="005A32F2">
        <w:t>1.</w:t>
      </w:r>
      <w:r w:rsidR="0039088F" w:rsidRPr="005A32F2">
        <w:t>1</w:t>
      </w:r>
      <w:r w:rsidR="00CD7BCE" w:rsidRPr="005A32F2">
        <w:tab/>
        <w:t xml:space="preserve">Smluvní strany se dohodly, že mandatář bude za podmínek v této smlouvě uvedených poskytovat klientovi právní služby podle českého práva a klient se zavazuje uhradit mandatáři odměnu a související peněžitá plnění v souladu s touto smlouvou. </w:t>
      </w:r>
    </w:p>
    <w:p w14:paraId="217105FE" w14:textId="7082F19F" w:rsidR="00765360" w:rsidRPr="005A32F2" w:rsidRDefault="00831A62" w:rsidP="005A32F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5A32F2">
        <w:rPr>
          <w:color w:val="000000"/>
        </w:rPr>
        <w:t>Smluvní strany se dohodly, že mandatář poskytne klientovi právní služby</w:t>
      </w:r>
      <w:r w:rsidR="00090117" w:rsidRPr="005A32F2">
        <w:rPr>
          <w:color w:val="000000"/>
        </w:rPr>
        <w:t>, a to zejmén</w:t>
      </w:r>
      <w:r w:rsidRPr="005A32F2">
        <w:rPr>
          <w:color w:val="000000"/>
        </w:rPr>
        <w:t xml:space="preserve">a: </w:t>
      </w:r>
    </w:p>
    <w:p w14:paraId="76967C62" w14:textId="50AF199F" w:rsidR="007B7D0B" w:rsidRPr="005A32F2" w:rsidRDefault="00090117" w:rsidP="005A32F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 w:hanging="425"/>
      </w:pPr>
      <w:r w:rsidRPr="005A32F2">
        <w:t>z</w:t>
      </w:r>
      <w:r w:rsidR="00CD7BCE" w:rsidRPr="005A32F2">
        <w:t xml:space="preserve">astoupení klienta při výkonu práv a povinností </w:t>
      </w:r>
      <w:r w:rsidR="00F83BFE">
        <w:t xml:space="preserve">při realizaci </w:t>
      </w:r>
      <w:r w:rsidRPr="005A32F2">
        <w:t xml:space="preserve">zadávání veřejných zakázek v rámci projektu „Expertní měření </w:t>
      </w:r>
      <w:proofErr w:type="spellStart"/>
      <w:r w:rsidRPr="005A32F2">
        <w:t>ultrajemných</w:t>
      </w:r>
      <w:proofErr w:type="spellEnd"/>
      <w:r w:rsidRPr="005A32F2">
        <w:t xml:space="preserve"> částic v ovzduší – monitorovací stanice a kalibrační laboratoř (MOSKAL)“</w:t>
      </w:r>
      <w:r w:rsidR="0089404F" w:rsidRPr="005A32F2">
        <w:t xml:space="preserve"> </w:t>
      </w:r>
      <w:r w:rsidR="00C41EAC" w:rsidRPr="005A32F2">
        <w:t>(dále jen „</w:t>
      </w:r>
      <w:r w:rsidR="00C41EAC" w:rsidRPr="005A32F2">
        <w:rPr>
          <w:b/>
        </w:rPr>
        <w:t>Projekt</w:t>
      </w:r>
      <w:r w:rsidR="00C41EAC" w:rsidRPr="005A32F2">
        <w:t>“)</w:t>
      </w:r>
      <w:r w:rsidR="002E593F">
        <w:t xml:space="preserve">, a to v souladu </w:t>
      </w:r>
      <w:r w:rsidR="002E593F" w:rsidRPr="001F2D73">
        <w:t>s „Pokyny pro zadávání veřejných zakázek v OPŽP 2014–2020</w:t>
      </w:r>
      <w:r w:rsidR="004F371B">
        <w:t>“</w:t>
      </w:r>
      <w:r w:rsidR="002E593F" w:rsidRPr="001F2D73">
        <w:t xml:space="preserve"> </w:t>
      </w:r>
      <w:r w:rsidR="004F371B">
        <w:t xml:space="preserve">vydanými Ministerstvem </w:t>
      </w:r>
      <w:r w:rsidR="002E593F" w:rsidRPr="001F2D73">
        <w:t>životního prostředí</w:t>
      </w:r>
      <w:r w:rsidR="00C41EAC" w:rsidRPr="005A32F2">
        <w:t xml:space="preserve"> </w:t>
      </w:r>
      <w:r w:rsidR="00831A62" w:rsidRPr="005A32F2">
        <w:t>v následujícím rozsahu</w:t>
      </w:r>
      <w:r w:rsidR="0089404F" w:rsidRPr="005A32F2">
        <w:t>:</w:t>
      </w:r>
    </w:p>
    <w:p w14:paraId="6EBB884F" w14:textId="376186DE" w:rsidR="003E5477" w:rsidRPr="005A32F2" w:rsidRDefault="00831A62" w:rsidP="005A32F2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rPr>
          <w:color w:val="000000"/>
        </w:rPr>
      </w:pPr>
      <w:proofErr w:type="spellStart"/>
      <w:r w:rsidRPr="005A32F2">
        <w:rPr>
          <w:color w:val="000000"/>
        </w:rPr>
        <w:t>aa</w:t>
      </w:r>
      <w:proofErr w:type="spellEnd"/>
      <w:r w:rsidRPr="005A32F2">
        <w:rPr>
          <w:color w:val="000000"/>
        </w:rPr>
        <w:t xml:space="preserve">) </w:t>
      </w:r>
      <w:r w:rsidR="0089404F" w:rsidRPr="005A32F2">
        <w:rPr>
          <w:color w:val="000000"/>
        </w:rPr>
        <w:tab/>
      </w:r>
      <w:r w:rsidRPr="005A32F2">
        <w:rPr>
          <w:color w:val="000000"/>
        </w:rPr>
        <w:t xml:space="preserve">zpracování </w:t>
      </w:r>
      <w:r w:rsidR="00C41EAC" w:rsidRPr="005A32F2">
        <w:rPr>
          <w:color w:val="000000"/>
        </w:rPr>
        <w:t>a metodická podpora při zadávání veřejných zakázek</w:t>
      </w:r>
      <w:r w:rsidR="0041231D">
        <w:rPr>
          <w:color w:val="000000"/>
        </w:rPr>
        <w:t xml:space="preserve"> (tj. zpracování zadávacích podmínek na základě podkladů klienta</w:t>
      </w:r>
      <w:r w:rsidR="000C5923">
        <w:rPr>
          <w:color w:val="000000"/>
        </w:rPr>
        <w:t xml:space="preserve"> do zadávacích dokumentací</w:t>
      </w:r>
      <w:r w:rsidR="0041231D">
        <w:rPr>
          <w:color w:val="000000"/>
        </w:rPr>
        <w:t xml:space="preserve">, zrealizování výběrových a zadávacích řízení postupem podle ZZVZ včetně plnění </w:t>
      </w:r>
      <w:proofErr w:type="spellStart"/>
      <w:r w:rsidR="0041231D">
        <w:rPr>
          <w:color w:val="000000"/>
        </w:rPr>
        <w:t>uveřejňovacích</w:t>
      </w:r>
      <w:proofErr w:type="spellEnd"/>
      <w:r w:rsidR="0041231D">
        <w:rPr>
          <w:color w:val="000000"/>
        </w:rPr>
        <w:t xml:space="preserve"> povinností klienta jakožto zadavatele ve smyslu </w:t>
      </w:r>
      <w:r w:rsidR="000C5923">
        <w:rPr>
          <w:color w:val="000000"/>
        </w:rPr>
        <w:t>zákona č. 134/2016 Sb., o zadávání veřejných zakázek, ve znění pozdějších předpisů</w:t>
      </w:r>
      <w:r w:rsidR="0041231D">
        <w:rPr>
          <w:color w:val="000000"/>
        </w:rPr>
        <w:t xml:space="preserve"> na profilu zadavatele nebo </w:t>
      </w:r>
      <w:r w:rsidR="0041231D">
        <w:rPr>
          <w:color w:val="000000"/>
        </w:rPr>
        <w:lastRenderedPageBreak/>
        <w:t>ve Věstníku veřejných zakázek)</w:t>
      </w:r>
      <w:r w:rsidR="00C41EAC" w:rsidRPr="005A32F2">
        <w:rPr>
          <w:color w:val="000000"/>
        </w:rPr>
        <w:t xml:space="preserve"> v rámci Projektu, jejichž identifikace je uvedena v příloze č. 1 této smlouvy</w:t>
      </w:r>
      <w:r w:rsidR="003E5477" w:rsidRPr="005A32F2">
        <w:rPr>
          <w:color w:val="000000"/>
        </w:rPr>
        <w:t xml:space="preserve"> včetně zpracovávání nebo posuzování návrhů smluv,</w:t>
      </w:r>
      <w:r w:rsidR="002E593F">
        <w:rPr>
          <w:color w:val="000000"/>
        </w:rPr>
        <w:t xml:space="preserve"> a to </w:t>
      </w:r>
      <w:r w:rsidR="004F371B">
        <w:rPr>
          <w:color w:val="000000"/>
        </w:rPr>
        <w:t xml:space="preserve">jak </w:t>
      </w:r>
      <w:r w:rsidR="002E593F">
        <w:rPr>
          <w:color w:val="000000"/>
        </w:rPr>
        <w:t>v</w:t>
      </w:r>
      <w:r w:rsidR="004F371B">
        <w:rPr>
          <w:color w:val="000000"/>
        </w:rPr>
        <w:t> </w:t>
      </w:r>
      <w:r w:rsidR="002E593F">
        <w:rPr>
          <w:color w:val="000000"/>
        </w:rPr>
        <w:t>českém</w:t>
      </w:r>
      <w:r w:rsidR="004F371B">
        <w:rPr>
          <w:color w:val="000000"/>
        </w:rPr>
        <w:t xml:space="preserve">, tak </w:t>
      </w:r>
      <w:r w:rsidR="002E593F">
        <w:rPr>
          <w:color w:val="000000"/>
        </w:rPr>
        <w:t>anglickém jazyce,</w:t>
      </w:r>
    </w:p>
    <w:p w14:paraId="23FF5F09" w14:textId="7804A7D7" w:rsidR="00C41EAC" w:rsidRPr="005A32F2" w:rsidRDefault="003E5477" w:rsidP="005A32F2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rPr>
          <w:color w:val="000000"/>
        </w:rPr>
      </w:pPr>
      <w:r w:rsidRPr="005A32F2">
        <w:rPr>
          <w:color w:val="000000"/>
        </w:rPr>
        <w:t xml:space="preserve">ab) </w:t>
      </w:r>
      <w:r w:rsidRPr="005A32F2">
        <w:rPr>
          <w:color w:val="000000"/>
        </w:rPr>
        <w:tab/>
        <w:t>zastupování klienta při zadávání veřejných zakázek,</w:t>
      </w:r>
    </w:p>
    <w:p w14:paraId="726C50CC" w14:textId="59E19165" w:rsidR="003E5477" w:rsidRPr="005A32F2" w:rsidRDefault="00C41EAC" w:rsidP="005A32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rPr>
          <w:color w:val="000000"/>
        </w:rPr>
      </w:pPr>
      <w:proofErr w:type="spellStart"/>
      <w:r w:rsidRPr="005A32F2">
        <w:rPr>
          <w:color w:val="000000"/>
        </w:rPr>
        <w:t>a</w:t>
      </w:r>
      <w:r w:rsidR="003E5477" w:rsidRPr="005A32F2">
        <w:rPr>
          <w:color w:val="000000"/>
        </w:rPr>
        <w:t>c</w:t>
      </w:r>
      <w:proofErr w:type="spellEnd"/>
      <w:r w:rsidRPr="005A32F2">
        <w:rPr>
          <w:color w:val="000000"/>
        </w:rPr>
        <w:t xml:space="preserve">) </w:t>
      </w:r>
      <w:r w:rsidR="003E5477" w:rsidRPr="005A32F2">
        <w:rPr>
          <w:color w:val="000000"/>
        </w:rPr>
        <w:tab/>
        <w:t xml:space="preserve">zastupování klienta při podávání opravných prostředků vůči postupům poskytovatele dotace a zpracovávání takových opravných prostředků, </w:t>
      </w:r>
    </w:p>
    <w:p w14:paraId="58DC8018" w14:textId="3F68CE51" w:rsidR="003E5477" w:rsidRPr="005A32F2" w:rsidRDefault="003E5477" w:rsidP="005A32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rPr>
          <w:color w:val="000000"/>
        </w:rPr>
      </w:pPr>
      <w:r w:rsidRPr="005A32F2">
        <w:rPr>
          <w:color w:val="000000"/>
        </w:rPr>
        <w:t>a</w:t>
      </w:r>
      <w:r w:rsidR="00C4057E" w:rsidRPr="005A32F2">
        <w:rPr>
          <w:color w:val="000000"/>
        </w:rPr>
        <w:t>d</w:t>
      </w:r>
      <w:r w:rsidRPr="005A32F2">
        <w:rPr>
          <w:color w:val="000000"/>
        </w:rPr>
        <w:t xml:space="preserve">) </w:t>
      </w:r>
      <w:r w:rsidRPr="005A32F2">
        <w:rPr>
          <w:color w:val="000000"/>
        </w:rPr>
        <w:tab/>
        <w:t>poskytování jiných právních služeb ve všech oblastech práva, které souvisí s činností klienta nebo vycházejících z jeho aktuálních potřeb</w:t>
      </w:r>
      <w:r w:rsidR="000066AC" w:rsidRPr="005A32F2">
        <w:rPr>
          <w:color w:val="000000"/>
        </w:rPr>
        <w:t>,</w:t>
      </w:r>
    </w:p>
    <w:p w14:paraId="1649D6E5" w14:textId="29EB73AE" w:rsidR="00E529B7" w:rsidRDefault="00E529B7" w:rsidP="002053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1418" w:hanging="425"/>
        <w:contextualSpacing w:val="0"/>
        <w:rPr>
          <w:color w:val="000000"/>
        </w:rPr>
      </w:pPr>
      <w:r>
        <w:rPr>
          <w:color w:val="000000"/>
        </w:rPr>
        <w:t xml:space="preserve">zastoupení klienta při administraci Projektu, a to v souladu s Pravidly pro žadatele a příjemce podpory v Operačním programu Životní prostředí pro období 2014-2020, vydanými Ministerstvem životního prostředí </w:t>
      </w:r>
      <w:r w:rsidR="00392428">
        <w:rPr>
          <w:color w:val="000000"/>
        </w:rPr>
        <w:t xml:space="preserve">(dále jen „Pravidla“), </w:t>
      </w:r>
      <w:r>
        <w:rPr>
          <w:color w:val="000000"/>
        </w:rPr>
        <w:t>v následujícím rozsahu:</w:t>
      </w:r>
    </w:p>
    <w:p w14:paraId="60C816FE" w14:textId="48292C9A" w:rsidR="00392428" w:rsidRDefault="00E529B7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contextualSpacing w:val="0"/>
        <w:rPr>
          <w:color w:val="000000"/>
        </w:rPr>
      </w:pPr>
      <w:r>
        <w:rPr>
          <w:color w:val="000000"/>
        </w:rPr>
        <w:t xml:space="preserve">ba) </w:t>
      </w:r>
      <w:r w:rsidR="00392428">
        <w:rPr>
          <w:color w:val="000000"/>
        </w:rPr>
        <w:tab/>
        <w:t xml:space="preserve">dohled nad dodržováním Pravidel, </w:t>
      </w:r>
    </w:p>
    <w:p w14:paraId="2605D45E" w14:textId="09FDE90E" w:rsidR="00392428" w:rsidRDefault="00392428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contextualSpacing w:val="0"/>
        <w:rPr>
          <w:color w:val="000000"/>
        </w:rPr>
      </w:pPr>
      <w:proofErr w:type="spellStart"/>
      <w:r>
        <w:rPr>
          <w:color w:val="000000"/>
        </w:rPr>
        <w:t>bb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</w:r>
      <w:r w:rsidR="00E529B7" w:rsidRPr="005A32F2">
        <w:rPr>
          <w:color w:val="000000"/>
        </w:rPr>
        <w:t xml:space="preserve">zpracování a metodická podpora </w:t>
      </w:r>
      <w:r>
        <w:rPr>
          <w:color w:val="000000"/>
        </w:rPr>
        <w:t>při přípravě zpráv o realizaci a žádostí o platbu v rámci Projektu,</w:t>
      </w:r>
    </w:p>
    <w:p w14:paraId="7B96C205" w14:textId="2E1BB6DB" w:rsidR="00392428" w:rsidRDefault="00392428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contextualSpacing w:val="0"/>
        <w:rPr>
          <w:color w:val="000000"/>
        </w:rPr>
      </w:pPr>
      <w:proofErr w:type="spellStart"/>
      <w:r>
        <w:rPr>
          <w:color w:val="000000"/>
        </w:rPr>
        <w:t>bc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  <w:t xml:space="preserve">vedení depeší v systému poskytovatele dotace Projektu, </w:t>
      </w:r>
    </w:p>
    <w:p w14:paraId="733C30C0" w14:textId="6CE27FF2" w:rsidR="00392428" w:rsidRDefault="00392428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contextualSpacing w:val="0"/>
        <w:rPr>
          <w:color w:val="000000"/>
        </w:rPr>
      </w:pPr>
      <w:proofErr w:type="spellStart"/>
      <w:r>
        <w:rPr>
          <w:color w:val="000000"/>
        </w:rPr>
        <w:t>bd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  <w:t>vedení změnových řízení,</w:t>
      </w:r>
    </w:p>
    <w:p w14:paraId="40E352DB" w14:textId="48535A27" w:rsidR="00392428" w:rsidRDefault="00392428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7" w:hanging="426"/>
        <w:contextualSpacing w:val="0"/>
        <w:rPr>
          <w:color w:val="000000"/>
        </w:rPr>
      </w:pP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  <w:t xml:space="preserve">zpracování zpráv o udržitelnosti, </w:t>
      </w:r>
    </w:p>
    <w:p w14:paraId="1D6BD3A0" w14:textId="2A9FE971" w:rsidR="004C01E8" w:rsidRPr="002053BF" w:rsidRDefault="00392428" w:rsidP="002053B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ind w:left="2126" w:hanging="425"/>
        <w:contextualSpacing w:val="0"/>
        <w:rPr>
          <w:color w:val="000000"/>
        </w:rPr>
      </w:pPr>
      <w:proofErr w:type="spellStart"/>
      <w:r>
        <w:rPr>
          <w:color w:val="000000"/>
        </w:rPr>
        <w:t>bf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tab/>
        <w:t xml:space="preserve">spolupráce a komunikace s poskytovatelem dotace, jakož i zajištění součinnosti při </w:t>
      </w:r>
      <w:r w:rsidRPr="002053BF">
        <w:rPr>
          <w:color w:val="000000"/>
        </w:rPr>
        <w:t>případných kontrolách v průběhu realizace Projektu.</w:t>
      </w:r>
      <w:r w:rsidR="00C4057E" w:rsidRPr="004D79A5">
        <w:rPr>
          <w:color w:val="000000"/>
        </w:rPr>
        <w:t xml:space="preserve"> </w:t>
      </w:r>
    </w:p>
    <w:p w14:paraId="00000019" w14:textId="4E2D6A21" w:rsidR="00B4795D" w:rsidRPr="005A32F2" w:rsidRDefault="009D2E52" w:rsidP="002053B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5A32F2">
        <w:rPr>
          <w:color w:val="000000"/>
        </w:rPr>
        <w:t>P</w:t>
      </w:r>
      <w:r w:rsidR="00CD7BCE" w:rsidRPr="005A32F2">
        <w:rPr>
          <w:color w:val="000000"/>
        </w:rPr>
        <w:t>rávní služby</w:t>
      </w:r>
      <w:r w:rsidR="00392428">
        <w:rPr>
          <w:color w:val="000000"/>
        </w:rPr>
        <w:t xml:space="preserve"> mandatáře podle čl. 1.2 písm. a) této smlouvy </w:t>
      </w:r>
      <w:r w:rsidR="00CD7BCE" w:rsidRPr="005A32F2">
        <w:rPr>
          <w:color w:val="000000"/>
        </w:rPr>
        <w:t xml:space="preserve">končí </w:t>
      </w:r>
      <w:r w:rsidR="00C41EAC" w:rsidRPr="005A32F2">
        <w:rPr>
          <w:color w:val="000000"/>
        </w:rPr>
        <w:t xml:space="preserve">zadáním všech veřejných zakázek v rámci Projektu, </w:t>
      </w:r>
      <w:r w:rsidR="00392428">
        <w:rPr>
          <w:color w:val="000000"/>
        </w:rPr>
        <w:t xml:space="preserve">případně </w:t>
      </w:r>
      <w:r w:rsidR="00CD7BCE" w:rsidRPr="005A32F2">
        <w:rPr>
          <w:color w:val="000000"/>
        </w:rPr>
        <w:t xml:space="preserve">rozhodnutím klienta </w:t>
      </w:r>
      <w:r w:rsidR="00C41EAC" w:rsidRPr="005A32F2">
        <w:rPr>
          <w:color w:val="000000"/>
        </w:rPr>
        <w:t xml:space="preserve">veřejné zakázky v rámci Projektu již </w:t>
      </w:r>
      <w:r w:rsidR="00CD7BCE" w:rsidRPr="005A32F2">
        <w:rPr>
          <w:color w:val="000000"/>
        </w:rPr>
        <w:t>nerealizovat</w:t>
      </w:r>
      <w:r w:rsidR="009477B3">
        <w:rPr>
          <w:color w:val="000000"/>
        </w:rPr>
        <w:t xml:space="preserve"> nebo dohodou mandatáře a klienta</w:t>
      </w:r>
      <w:r w:rsidR="00392428">
        <w:rPr>
          <w:color w:val="000000"/>
        </w:rPr>
        <w:t>. Právní služby mandatáře podle čl. 1.2. písm. b) této smlouvy končí ukončením realizace Projektu</w:t>
      </w:r>
      <w:r w:rsidR="004C01E8" w:rsidRPr="005A32F2">
        <w:rPr>
          <w:color w:val="000000"/>
        </w:rPr>
        <w:t xml:space="preserve"> nebo </w:t>
      </w:r>
      <w:r w:rsidR="00CD7BCE" w:rsidRPr="005A32F2">
        <w:rPr>
          <w:color w:val="000000"/>
        </w:rPr>
        <w:t>dohodou mandatáře a klienta. V rámci této smlouvy není mandatář oprávněn vést</w:t>
      </w:r>
      <w:r w:rsidRPr="005A32F2">
        <w:rPr>
          <w:color w:val="000000"/>
        </w:rPr>
        <w:t xml:space="preserve"> jménem klienta správní řízení </w:t>
      </w:r>
      <w:r w:rsidR="00CD7BCE" w:rsidRPr="005A32F2">
        <w:rPr>
          <w:color w:val="000000"/>
        </w:rPr>
        <w:t>případně i v dalších věcech dle domluvy mandatáře a klienta.</w:t>
      </w:r>
      <w:r w:rsidR="004C01E8" w:rsidRPr="005A32F2">
        <w:rPr>
          <w:color w:val="000000"/>
        </w:rPr>
        <w:t xml:space="preserve"> Mandatář nezaručuje klientovi výhradní právo na poskytování právních služeb klientovi.</w:t>
      </w:r>
    </w:p>
    <w:p w14:paraId="0000001B" w14:textId="77777777" w:rsidR="00B4795D" w:rsidRPr="005A32F2" w:rsidRDefault="00B4795D" w:rsidP="005A32F2"/>
    <w:p w14:paraId="0000001C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II</w:t>
      </w:r>
    </w:p>
    <w:p w14:paraId="0000001D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Zadávání úkolů a postup při poskytování služeb</w:t>
      </w:r>
    </w:p>
    <w:p w14:paraId="0000001E" w14:textId="77777777" w:rsidR="00B4795D" w:rsidRPr="005A32F2" w:rsidRDefault="00CD7BCE" w:rsidP="005A32F2">
      <w:pPr>
        <w:ind w:left="567" w:hanging="567"/>
      </w:pPr>
      <w:r w:rsidRPr="005A32F2">
        <w:t>2.1</w:t>
      </w:r>
      <w:r w:rsidRPr="005A32F2">
        <w:tab/>
        <w:t>Klientovi náleží právo zadávat mandatáři jednotlivé úkoly a pokyny.</w:t>
      </w:r>
    </w:p>
    <w:p w14:paraId="0000001F" w14:textId="77777777" w:rsidR="00B4795D" w:rsidRPr="005A32F2" w:rsidRDefault="00CD7BCE" w:rsidP="005A32F2">
      <w:pPr>
        <w:ind w:left="567" w:hanging="567"/>
      </w:pPr>
      <w:r w:rsidRPr="005A32F2">
        <w:t>2.2</w:t>
      </w:r>
      <w:r w:rsidRPr="005A32F2">
        <w:tab/>
        <w:t>Mandatář nenese žádnou odpovědnost za legalitu, věcnou správnost a smysluplnost rozhodnutí a instrukcí klienta a je při své činnosti oprávněn spoléhat se na pravdivost a úplnost všech informací a podkladů od klienta získaných.</w:t>
      </w:r>
    </w:p>
    <w:p w14:paraId="00000020" w14:textId="77777777" w:rsidR="00B4795D" w:rsidRPr="005A32F2" w:rsidRDefault="00CD7BCE" w:rsidP="005A32F2">
      <w:pPr>
        <w:ind w:left="567" w:hanging="567"/>
      </w:pPr>
      <w:r w:rsidRPr="005A32F2">
        <w:t>2.3</w:t>
      </w:r>
      <w:r w:rsidRPr="005A32F2">
        <w:tab/>
        <w:t xml:space="preserve">Mandatář nenese především žádnou odpovědnost za věcnou správnost vymezení předmětu a rozsahu požadavků klienta na kvalifikaci veřejné zakázky. </w:t>
      </w:r>
    </w:p>
    <w:p w14:paraId="00000021" w14:textId="77777777" w:rsidR="00B4795D" w:rsidRPr="005A32F2" w:rsidRDefault="00CD7BCE" w:rsidP="005A32F2">
      <w:pPr>
        <w:ind w:left="567" w:hanging="567"/>
      </w:pPr>
      <w:r w:rsidRPr="005A32F2">
        <w:t>2.4</w:t>
      </w:r>
      <w:r w:rsidRPr="005A32F2">
        <w:tab/>
        <w:t>Mandatář má právo odmítnout poskytnutí právních služeb pouze v odůvodněných případech. Mandatář má povinnost odmítnout poskytnutí právních služeb v případech stanovených právními předpisy, zejména v případě, že by došlo ke střetu zájmů.</w:t>
      </w:r>
    </w:p>
    <w:p w14:paraId="00000022" w14:textId="730CABB8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lastRenderedPageBreak/>
        <w:t>Článek III</w:t>
      </w:r>
    </w:p>
    <w:p w14:paraId="00000023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Odměna, účelně vynaložené náklady a záloha</w:t>
      </w:r>
    </w:p>
    <w:p w14:paraId="00000024" w14:textId="77777777" w:rsidR="00B4795D" w:rsidRPr="005A32F2" w:rsidRDefault="00CD7BCE" w:rsidP="005A32F2">
      <w:pPr>
        <w:ind w:left="567" w:hanging="567"/>
      </w:pPr>
      <w:r w:rsidRPr="005A32F2">
        <w:t>3.1</w:t>
      </w:r>
      <w:r w:rsidRPr="005A32F2">
        <w:tab/>
        <w:t xml:space="preserve">Mandatář prohlašuje, že je plátcem DPH, a klient tuto skutečnost bere na vědomí. </w:t>
      </w:r>
    </w:p>
    <w:p w14:paraId="737530ED" w14:textId="4B29812F" w:rsidR="00040D35" w:rsidRPr="005A32F2" w:rsidRDefault="00CD7BCE" w:rsidP="005A32F2">
      <w:pPr>
        <w:ind w:left="567" w:hanging="567"/>
        <w:rPr>
          <w:snapToGrid w:val="0"/>
        </w:rPr>
      </w:pPr>
      <w:r w:rsidRPr="005A32F2">
        <w:t>3.2</w:t>
      </w:r>
      <w:r w:rsidRPr="005A32F2">
        <w:tab/>
      </w:r>
      <w:r w:rsidR="00040D35" w:rsidRPr="005A32F2">
        <w:rPr>
          <w:snapToGrid w:val="0"/>
        </w:rPr>
        <w:t xml:space="preserve">Odměna mandatáře za organizační zajištění služeb podle čl. 1.2 této smlouvy a </w:t>
      </w:r>
      <w:r w:rsidR="00040D35" w:rsidRPr="005A32F2">
        <w:t xml:space="preserve">hodinová sazba ostatních právních služeb </w:t>
      </w:r>
      <w:r w:rsidR="00040D35" w:rsidRPr="005A32F2">
        <w:rPr>
          <w:snapToGrid w:val="0"/>
        </w:rPr>
        <w:t xml:space="preserve">je uvedena v příloze č. 1 této smlouvy. Odměna mandatáře se sjednává jako nejvýše přípustná </w:t>
      </w:r>
      <w:r w:rsidR="00040D35" w:rsidRPr="005A32F2">
        <w:t>a závazná po celou dobu platnosti této smlouvy</w:t>
      </w:r>
      <w:r w:rsidR="00040D35" w:rsidRPr="005A32F2">
        <w:rPr>
          <w:snapToGrid w:val="0"/>
        </w:rPr>
        <w:t>.</w:t>
      </w:r>
      <w:r w:rsidR="00040D35" w:rsidRPr="005A32F2">
        <w:t xml:space="preserve"> </w:t>
      </w:r>
      <w:r w:rsidR="00040D35" w:rsidRPr="005A32F2">
        <w:rPr>
          <w:snapToGrid w:val="0"/>
        </w:rPr>
        <w:t>Změna výše odměny je možná pouze v případě změny sazby DPH, a to o částku odpovídající výši změny DPH.</w:t>
      </w:r>
    </w:p>
    <w:p w14:paraId="030AD0CF" w14:textId="3EEC6307" w:rsidR="00040D35" w:rsidRPr="005A32F2" w:rsidRDefault="000066AC" w:rsidP="005A32F2">
      <w:pPr>
        <w:tabs>
          <w:tab w:val="left" w:pos="567"/>
          <w:tab w:val="left" w:pos="4678"/>
        </w:tabs>
        <w:rPr>
          <w:snapToGrid w:val="0"/>
        </w:rPr>
      </w:pPr>
      <w:r w:rsidRPr="005A32F2">
        <w:rPr>
          <w:snapToGrid w:val="0"/>
        </w:rPr>
        <w:t xml:space="preserve">3.3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</w:t>
      </w:r>
      <w:r w:rsidRPr="005A32F2">
        <w:rPr>
          <w:snapToGrid w:val="0"/>
        </w:rPr>
        <w:t xml:space="preserve">služby podle čl. 1.2 písm. a) smlouvy </w:t>
      </w:r>
      <w:r w:rsidR="00040D35" w:rsidRPr="005A32F2">
        <w:rPr>
          <w:snapToGrid w:val="0"/>
        </w:rPr>
        <w:t>zahrnuje veškeré náklady poskytovatele, zejména:</w:t>
      </w:r>
    </w:p>
    <w:p w14:paraId="50F94DB2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left" w:pos="1701"/>
          <w:tab w:val="left" w:pos="4678"/>
        </w:tabs>
        <w:ind w:left="1276" w:hanging="425"/>
        <w:rPr>
          <w:snapToGrid w:val="0"/>
        </w:rPr>
      </w:pPr>
      <w:r w:rsidRPr="005A32F2">
        <w:rPr>
          <w:snapToGrid w:val="0"/>
        </w:rPr>
        <w:t>cestovní náklady;</w:t>
      </w:r>
    </w:p>
    <w:p w14:paraId="07267DDC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telekomunikační a poštovní náklady;</w:t>
      </w:r>
    </w:p>
    <w:p w14:paraId="6AB72362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mzdové náklady zaměstnanců poskytovatele;</w:t>
      </w:r>
    </w:p>
    <w:p w14:paraId="0ED544DD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zveřejnění v Informačním systému VZ;</w:t>
      </w:r>
    </w:p>
    <w:p w14:paraId="26BF9918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jiné náklady nezbytné pro řádný průběh zadávacího řízení;</w:t>
      </w:r>
    </w:p>
    <w:p w14:paraId="165DA134" w14:textId="3282534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zpracování podkladů k podaným námitkám, návrhům a stanoviskům pro orgány dohledu.</w:t>
      </w:r>
    </w:p>
    <w:p w14:paraId="49CC6064" w14:textId="2F51752A" w:rsidR="00040D35" w:rsidRPr="005A32F2" w:rsidRDefault="000066AC" w:rsidP="005A32F2">
      <w:pPr>
        <w:tabs>
          <w:tab w:val="left" w:pos="567"/>
        </w:tabs>
        <w:spacing w:before="120"/>
        <w:ind w:left="567" w:hanging="567"/>
        <w:rPr>
          <w:snapToGrid w:val="0"/>
        </w:rPr>
      </w:pPr>
      <w:r w:rsidRPr="005A32F2">
        <w:rPr>
          <w:snapToGrid w:val="0"/>
        </w:rPr>
        <w:t xml:space="preserve">3.4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ostatní právní služby poskytované </w:t>
      </w:r>
      <w:r w:rsidR="00C67438" w:rsidRPr="005A32F2">
        <w:rPr>
          <w:snapToGrid w:val="0"/>
        </w:rPr>
        <w:t>mandatářem</w:t>
      </w:r>
      <w:r w:rsidR="00040D35" w:rsidRPr="005A32F2">
        <w:rPr>
          <w:snapToGrid w:val="0"/>
        </w:rPr>
        <w:t xml:space="preserve"> na základě objednávky </w:t>
      </w:r>
      <w:r w:rsidR="00C67438" w:rsidRPr="005A32F2">
        <w:rPr>
          <w:snapToGrid w:val="0"/>
        </w:rPr>
        <w:t>klienta</w:t>
      </w:r>
      <w:r w:rsidR="00040D35" w:rsidRPr="005A32F2">
        <w:rPr>
          <w:snapToGrid w:val="0"/>
        </w:rPr>
        <w:t xml:space="preserve"> bude stanovena na základě počtu hodin skutečně odpracovaných při poskytování ostatních právních služeb v rámci sjednaného předmětu plnění a sjednané jednotkové ceny za jednu hodinu takových ostatních právních služeb.</w:t>
      </w:r>
    </w:p>
    <w:p w14:paraId="00000029" w14:textId="77777777" w:rsidR="00B4795D" w:rsidRPr="005A32F2" w:rsidRDefault="00B4795D" w:rsidP="005A32F2"/>
    <w:p w14:paraId="0000002A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IV</w:t>
      </w:r>
    </w:p>
    <w:p w14:paraId="0000002B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Vyúčtování a úhrady</w:t>
      </w:r>
    </w:p>
    <w:p w14:paraId="0000002C" w14:textId="38407974" w:rsidR="00B4795D" w:rsidRPr="005A32F2" w:rsidRDefault="00CD7BCE" w:rsidP="005A32F2">
      <w:pPr>
        <w:ind w:left="567" w:hanging="567"/>
      </w:pPr>
      <w:r w:rsidRPr="005A32F2">
        <w:t>4.1</w:t>
      </w:r>
      <w:r w:rsidRPr="005A32F2">
        <w:tab/>
        <w:t xml:space="preserve">Strany se dohodly, že služby specifikované v odst. 1.2 této smlouvy uhradí mandatář </w:t>
      </w:r>
      <w:r w:rsidR="00390628" w:rsidRPr="005A32F2">
        <w:t>na základě vystavené faktury mandatářem.</w:t>
      </w:r>
      <w:r w:rsidRPr="005A32F2">
        <w:t xml:space="preserve"> </w:t>
      </w:r>
      <w:r w:rsidR="00390628" w:rsidRPr="005A32F2">
        <w:t>Faktura bude doručena</w:t>
      </w:r>
      <w:r w:rsidRPr="005A32F2">
        <w:t xml:space="preserve"> k rukám klienta. Klient je povinen řádné faktury hradit do dne jejich splatnosti.</w:t>
      </w:r>
    </w:p>
    <w:p w14:paraId="433E6258" w14:textId="02DFCE54" w:rsidR="00040D35" w:rsidRPr="005A32F2" w:rsidRDefault="000066AC" w:rsidP="005A32F2">
      <w:pPr>
        <w:tabs>
          <w:tab w:val="left" w:pos="567"/>
          <w:tab w:val="left" w:pos="4678"/>
        </w:tabs>
        <w:spacing w:before="120"/>
        <w:ind w:left="567" w:hanging="567"/>
        <w:rPr>
          <w:snapToGrid w:val="0"/>
        </w:rPr>
      </w:pPr>
      <w:r w:rsidRPr="005A32F2">
        <w:rPr>
          <w:snapToGrid w:val="0"/>
        </w:rPr>
        <w:t xml:space="preserve">4.2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</w:t>
      </w:r>
      <w:r w:rsidR="00040D35" w:rsidRPr="005A32F2">
        <w:t>službu poskytnutou podle odst. 1.2</w:t>
      </w:r>
      <w:r w:rsidRPr="005A32F2">
        <w:t xml:space="preserve"> písm. a) </w:t>
      </w:r>
      <w:r w:rsidR="00040D35" w:rsidRPr="005A32F2">
        <w:t xml:space="preserve">této smlouvy </w:t>
      </w:r>
      <w:r w:rsidR="00040D35" w:rsidRPr="005A32F2">
        <w:rPr>
          <w:snapToGrid w:val="0"/>
        </w:rPr>
        <w:t>bude mandatáři klientem uhrazena bankovním převodem v české měně na základě daňového dokladu</w:t>
      </w:r>
      <w:r w:rsidR="004C01E8" w:rsidRPr="005A32F2">
        <w:rPr>
          <w:snapToGrid w:val="0"/>
        </w:rPr>
        <w:t xml:space="preserve"> vystaveného mandatářem. Strany se dohodly, že mandatář vystaví klientovi při</w:t>
      </w:r>
      <w:r w:rsidR="00107280">
        <w:rPr>
          <w:snapToGrid w:val="0"/>
        </w:rPr>
        <w:t xml:space="preserve"> po nabytí účinnosti </w:t>
      </w:r>
      <w:r w:rsidR="004C01E8" w:rsidRPr="005A32F2">
        <w:rPr>
          <w:snapToGrid w:val="0"/>
        </w:rPr>
        <w:t>této smlouvy zálohovou fakturu ve výši 100</w:t>
      </w:r>
      <w:r w:rsidR="00A1580F">
        <w:rPr>
          <w:snapToGrid w:val="0"/>
        </w:rPr>
        <w:t xml:space="preserve"> </w:t>
      </w:r>
      <w:r w:rsidR="004C01E8" w:rsidRPr="005A32F2">
        <w:rPr>
          <w:snapToGrid w:val="0"/>
        </w:rPr>
        <w:t>000 Kč</w:t>
      </w:r>
      <w:r w:rsidR="005A32F2" w:rsidRPr="005A32F2">
        <w:rPr>
          <w:snapToGrid w:val="0"/>
        </w:rPr>
        <w:t xml:space="preserve">, která bude ze strany klienta uhrazena do 15 dnů od </w:t>
      </w:r>
      <w:r w:rsidR="002F7397">
        <w:rPr>
          <w:snapToGrid w:val="0"/>
        </w:rPr>
        <w:t xml:space="preserve">nabytí účinnosti </w:t>
      </w:r>
      <w:r w:rsidR="005A32F2" w:rsidRPr="005A32F2">
        <w:rPr>
          <w:snapToGrid w:val="0"/>
        </w:rPr>
        <w:t xml:space="preserve">této smlouvy. Dále bude odměna mandatáře podle článku 1.2. písm. a) této smlouvy hrazena klientem následovně. </w:t>
      </w:r>
    </w:p>
    <w:p w14:paraId="4B4FB50A" w14:textId="56474D11" w:rsidR="00040D35" w:rsidRPr="005A32F2" w:rsidRDefault="00040D35" w:rsidP="00F83BFE">
      <w:pPr>
        <w:pStyle w:val="Odrazka2"/>
        <w:numPr>
          <w:ilvl w:val="1"/>
          <w:numId w:val="17"/>
        </w:numPr>
        <w:spacing w:after="120" w:line="336" w:lineRule="auto"/>
        <w:ind w:left="1276" w:hanging="425"/>
        <w:rPr>
          <w:rFonts w:ascii="Arial" w:hAnsi="Arial" w:cs="Arial"/>
          <w:sz w:val="18"/>
          <w:szCs w:val="18"/>
        </w:rPr>
      </w:pPr>
      <w:r w:rsidRPr="005A32F2">
        <w:rPr>
          <w:rFonts w:ascii="Arial" w:hAnsi="Arial" w:cs="Arial"/>
          <w:sz w:val="18"/>
          <w:szCs w:val="18"/>
        </w:rPr>
        <w:t>50 % z ceny daného celku po dokončení a předání zadávací dokumentace,</w:t>
      </w:r>
      <w:r w:rsidR="005A32F2" w:rsidRPr="005A32F2">
        <w:rPr>
          <w:rFonts w:ascii="Arial" w:hAnsi="Arial" w:cs="Arial"/>
          <w:sz w:val="18"/>
          <w:szCs w:val="18"/>
        </w:rPr>
        <w:t xml:space="preserve"> při zohlednění zaplacené zálohové faktury,</w:t>
      </w:r>
      <w:r w:rsidRPr="005A32F2">
        <w:rPr>
          <w:rFonts w:ascii="Arial" w:hAnsi="Arial" w:cs="Arial"/>
          <w:sz w:val="18"/>
          <w:szCs w:val="18"/>
        </w:rPr>
        <w:t xml:space="preserve"> přičemž o předání smluvní strany sepíší předávací protokol;</w:t>
      </w:r>
    </w:p>
    <w:p w14:paraId="1218F2C1" w14:textId="3975F543" w:rsidR="005A32F2" w:rsidRPr="005A32F2" w:rsidRDefault="00040D35" w:rsidP="00F83BFE">
      <w:pPr>
        <w:pStyle w:val="Odrazka2"/>
        <w:numPr>
          <w:ilvl w:val="1"/>
          <w:numId w:val="17"/>
        </w:numPr>
        <w:spacing w:after="120" w:line="336" w:lineRule="auto"/>
        <w:ind w:left="1276" w:hanging="425"/>
        <w:rPr>
          <w:rFonts w:ascii="Arial" w:hAnsi="Arial" w:cs="Arial"/>
          <w:snapToGrid w:val="0"/>
          <w:sz w:val="18"/>
          <w:szCs w:val="18"/>
        </w:rPr>
      </w:pPr>
      <w:r w:rsidRPr="005A32F2">
        <w:rPr>
          <w:rFonts w:ascii="Arial" w:hAnsi="Arial" w:cs="Arial"/>
          <w:sz w:val="18"/>
          <w:szCs w:val="18"/>
        </w:rPr>
        <w:t xml:space="preserve">50 % z ceny daného celku po ukončení zadávacího řízení, tj. po uzavření </w:t>
      </w:r>
      <w:r w:rsidR="005A32F2" w:rsidRPr="005A32F2">
        <w:rPr>
          <w:rFonts w:ascii="Arial" w:hAnsi="Arial" w:cs="Arial"/>
          <w:sz w:val="18"/>
          <w:szCs w:val="18"/>
        </w:rPr>
        <w:t>s</w:t>
      </w:r>
      <w:r w:rsidRPr="005A32F2">
        <w:rPr>
          <w:rFonts w:ascii="Arial" w:hAnsi="Arial" w:cs="Arial"/>
          <w:sz w:val="18"/>
          <w:szCs w:val="18"/>
        </w:rPr>
        <w:t>mlouvy či po rozhodnutí zadavatele o zrušení zadávacího řízení z důvodů nikoli na straně poskytovatele</w:t>
      </w:r>
      <w:r w:rsidR="005A32F2" w:rsidRPr="005A32F2">
        <w:rPr>
          <w:rFonts w:ascii="Arial" w:hAnsi="Arial" w:cs="Arial"/>
          <w:sz w:val="18"/>
          <w:szCs w:val="18"/>
        </w:rPr>
        <w:t>, při zohlednění zaplacené zálohové faktury</w:t>
      </w:r>
      <w:r w:rsidR="00A1580F">
        <w:rPr>
          <w:rFonts w:ascii="Arial" w:hAnsi="Arial" w:cs="Arial"/>
          <w:sz w:val="18"/>
          <w:szCs w:val="18"/>
        </w:rPr>
        <w:t>.</w:t>
      </w:r>
    </w:p>
    <w:p w14:paraId="1D949921" w14:textId="309DC164" w:rsidR="000066AC" w:rsidRPr="005A32F2" w:rsidRDefault="000066AC" w:rsidP="005A32F2">
      <w:pPr>
        <w:tabs>
          <w:tab w:val="left" w:pos="567"/>
          <w:tab w:val="left" w:pos="4678"/>
        </w:tabs>
        <w:spacing w:before="120"/>
        <w:ind w:left="567" w:hanging="567"/>
        <w:rPr>
          <w:snapToGrid w:val="0"/>
        </w:rPr>
      </w:pPr>
      <w:r w:rsidRPr="005A32F2">
        <w:rPr>
          <w:snapToGrid w:val="0"/>
        </w:rPr>
        <w:t xml:space="preserve">4.3 </w:t>
      </w:r>
      <w:r w:rsidRPr="005A32F2">
        <w:rPr>
          <w:snapToGrid w:val="0"/>
        </w:rPr>
        <w:tab/>
        <w:t xml:space="preserve">Odměna za </w:t>
      </w:r>
      <w:r w:rsidRPr="005A32F2">
        <w:t xml:space="preserve">službu poskytnutou podle čl. 1.2 písm. b) této smlouvy </w:t>
      </w:r>
      <w:r w:rsidRPr="005A32F2">
        <w:rPr>
          <w:snapToGrid w:val="0"/>
        </w:rPr>
        <w:t xml:space="preserve">bude mandatáři klientem uhrazena bankovním převodem v české měně na základě daňového dokladu – faktury vystavené mandatářem. Odměna za služby podle </w:t>
      </w:r>
      <w:r w:rsidRPr="005A32F2">
        <w:t xml:space="preserve">čl. 1.2 písm. b) této smlouvy bude klientem hrazena průběžně každý měsíc, a to na základě faktury vystavené mandatářem. </w:t>
      </w:r>
    </w:p>
    <w:p w14:paraId="0000002E" w14:textId="654AC5F0" w:rsidR="00B4795D" w:rsidRPr="005A32F2" w:rsidRDefault="00CD7BCE" w:rsidP="005A32F2">
      <w:pPr>
        <w:ind w:left="567" w:hanging="567"/>
      </w:pPr>
      <w:r w:rsidRPr="005A32F2">
        <w:lastRenderedPageBreak/>
        <w:t>4.</w:t>
      </w:r>
      <w:r w:rsidR="000066AC" w:rsidRPr="005A32F2">
        <w:t>4</w:t>
      </w:r>
      <w:r w:rsidRPr="005A32F2">
        <w:tab/>
        <w:t>Faktury budou mít náležitosti daňového dokladu a budou v příloze obsahovat stručný popis poskytnutých služeb v příslušném období zakázce. Na žádost klienta mandatář poskytne podrobnější vysvětlení k jakékoliv části faktury.</w:t>
      </w:r>
    </w:p>
    <w:p w14:paraId="0000002F" w14:textId="732BBEBC" w:rsidR="00B4795D" w:rsidRPr="005A32F2" w:rsidRDefault="00CD7BCE" w:rsidP="005A32F2">
      <w:pPr>
        <w:ind w:left="567" w:hanging="567"/>
      </w:pPr>
      <w:r w:rsidRPr="005A32F2">
        <w:t>4.</w:t>
      </w:r>
      <w:r w:rsidR="000066AC" w:rsidRPr="005A32F2">
        <w:t>5</w:t>
      </w:r>
      <w:r w:rsidRPr="005A32F2">
        <w:tab/>
        <w:t>Faktury mandatáře jsou splatné ke dni uvedenému ve faktuře, nikoliv však dříve než deset (10) dní po doručení příslušné faktury.</w:t>
      </w:r>
    </w:p>
    <w:p w14:paraId="00000030" w14:textId="77777777" w:rsidR="00B4795D" w:rsidRPr="005A32F2" w:rsidRDefault="00B4795D" w:rsidP="005A32F2">
      <w:pPr>
        <w:ind w:left="567" w:hanging="567"/>
      </w:pPr>
    </w:p>
    <w:p w14:paraId="00000031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V</w:t>
      </w:r>
    </w:p>
    <w:p w14:paraId="00000032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Předpisy o advokacii</w:t>
      </w:r>
    </w:p>
    <w:p w14:paraId="00000033" w14:textId="5EFB2F6D" w:rsidR="00B4795D" w:rsidRPr="005A32F2" w:rsidRDefault="00CD7BCE" w:rsidP="005A32F2">
      <w:pPr>
        <w:ind w:left="567" w:hanging="567"/>
      </w:pPr>
      <w:r w:rsidRPr="005A32F2">
        <w:t>5.1</w:t>
      </w:r>
      <w:r w:rsidRPr="005A32F2">
        <w:tab/>
        <w:t>Mandatář odpovídá klientovi za škody v rozsahu stanoveném právními předpisy o advokacii</w:t>
      </w:r>
      <w:r w:rsidR="000C5923">
        <w:t>, tj. mandatář odpovídá klientovi za škodu, kterou mu způsobí v souvislosti s výkonem advokacie</w:t>
      </w:r>
      <w:r w:rsidRPr="005A32F2">
        <w:t>.</w:t>
      </w:r>
      <w:r w:rsidR="000C5923">
        <w:t xml:space="preserve"> Mandatář odpovídá i za škodu, kterou způsobenou klientovi i tehdy, byla-li škoda způsobena v souvislosti s výkonem advokacie jeho zástupcem. </w:t>
      </w:r>
      <w:r w:rsidRPr="005A32F2">
        <w:t>Výše náhrady škody je však omezena výší dostupného pojistného plnění za takovéto škody podle příslušné pojistné smlouvy uzavřené mezi mandatářem a příslušným pojistitelem na základě právních předpisů upravujících výkon advokacie. Mandatář je na žádost klienta povinen osvědčit existenci a výši pojistného krytí.</w:t>
      </w:r>
    </w:p>
    <w:p w14:paraId="00000034" w14:textId="77777777" w:rsidR="00B4795D" w:rsidRPr="005A32F2" w:rsidRDefault="00CD7BCE" w:rsidP="005A32F2">
      <w:pPr>
        <w:ind w:left="567" w:hanging="567"/>
      </w:pPr>
      <w:r w:rsidRPr="005A32F2">
        <w:t>5.2</w:t>
      </w:r>
      <w:r w:rsidRPr="005A32F2">
        <w:tab/>
        <w:t>Mandatář je vázán povinností mlčenlivosti v rozsahu stanoveném právními předpisy o advokacii.</w:t>
      </w:r>
    </w:p>
    <w:p w14:paraId="7F8462C3" w14:textId="0EB77F5D" w:rsidR="00E31B35" w:rsidRPr="005A32F2" w:rsidRDefault="00CD7BCE" w:rsidP="005A32F2">
      <w:pPr>
        <w:ind w:left="567" w:hanging="567"/>
      </w:pPr>
      <w:r w:rsidRPr="005A32F2">
        <w:t>5.3</w:t>
      </w:r>
      <w:r w:rsidRPr="005A32F2">
        <w:tab/>
        <w:t>Na způsob poskytování právních služeb a práva a povinnosti mandatáře a klienta se v záležitostech touto smlouvou neupravených použijí právní předpisy České republiky upravující poskytování právní pomoci advokáty.</w:t>
      </w:r>
    </w:p>
    <w:p w14:paraId="20F4C87F" w14:textId="77777777" w:rsidR="00157DF5" w:rsidRDefault="00157DF5" w:rsidP="005A32F2">
      <w:pPr>
        <w:keepNext/>
        <w:spacing w:before="120"/>
        <w:jc w:val="center"/>
        <w:rPr>
          <w:b/>
        </w:rPr>
      </w:pPr>
    </w:p>
    <w:p w14:paraId="00000036" w14:textId="7F41F8DA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VI</w:t>
      </w:r>
    </w:p>
    <w:p w14:paraId="00000037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Trvání smlouvy</w:t>
      </w:r>
    </w:p>
    <w:p w14:paraId="00000038" w14:textId="77777777" w:rsidR="00B4795D" w:rsidRPr="005A32F2" w:rsidRDefault="00CD7BCE" w:rsidP="005A32F2">
      <w:pPr>
        <w:ind w:left="567" w:hanging="567"/>
      </w:pPr>
      <w:r w:rsidRPr="005A32F2">
        <w:t>6.1</w:t>
      </w:r>
      <w:r w:rsidRPr="005A32F2">
        <w:tab/>
        <w:t>Tato smlouva se uzavírá na dobu neurčitou. Klient může smlouvu vypovědět i bez uvedení důvodu písemnou výpovědí či zápisem o výpovědi v místě sídla mandatáře. Mandatář je v případě výpovědi povinen neprodleně předat klientovi spisovou dokumentaci k jednotlivým případům a předložit závěrečnou fakturu. Mandatář je oprávněn smlouvu vypovědět zejména dojde-li k narušení nezbytné důvěry mezi ním a klientem nebo neposkytl-li klient potřebnou součinnost na základě doručené výzvy k poskytnutí součinnosti, a to do 10 dnů ode dne doručení této výzvy. Klient se zavazuje spisovou dokumentaci převzít a uhradit závěrečnou fakturu nejpozději dle její splatnosti.</w:t>
      </w:r>
    </w:p>
    <w:p w14:paraId="00000039" w14:textId="77777777" w:rsidR="00B4795D" w:rsidRPr="005A32F2" w:rsidRDefault="00B4795D" w:rsidP="005A32F2">
      <w:pPr>
        <w:ind w:left="567" w:hanging="567"/>
      </w:pPr>
    </w:p>
    <w:p w14:paraId="0000003A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VII</w:t>
      </w:r>
    </w:p>
    <w:p w14:paraId="0000003B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Závěrečná ustanovení</w:t>
      </w:r>
    </w:p>
    <w:p w14:paraId="2C25836B" w14:textId="01B54E6C" w:rsidR="001335E3" w:rsidRDefault="00CD7BCE" w:rsidP="005A32F2">
      <w:pPr>
        <w:ind w:left="567" w:hanging="567"/>
      </w:pPr>
      <w:r w:rsidRPr="005A32F2">
        <w:t>7.1</w:t>
      </w:r>
      <w:r w:rsidRPr="005A32F2">
        <w:tab/>
      </w:r>
      <w:r w:rsidR="001335E3" w:rsidRPr="00916B4D">
        <w:t xml:space="preserve">Tato smlouva </w:t>
      </w:r>
      <w:r w:rsidR="00157619">
        <w:t xml:space="preserve">nabývá </w:t>
      </w:r>
      <w:r w:rsidR="001335E3" w:rsidRPr="00916B4D">
        <w:t>platnost</w:t>
      </w:r>
      <w:r w:rsidR="00157619">
        <w:t>i</w:t>
      </w:r>
      <w:r w:rsidR="001335E3" w:rsidRPr="00916B4D">
        <w:t xml:space="preserve"> dnem podpisu oběma smluvními stranami a účinnosti dnem uveřejnění registru smluv</w:t>
      </w:r>
      <w:r w:rsidR="00157619">
        <w:t xml:space="preserve"> ve smyslu zákona č. 340/2015 Sb., o zvláštních podmínkách účinnosti některých smluv, uveřejňování těchto smluv a o registru smluv (zákon o registru smluv), ve znění pozdějších předpisů (dále jen „zákon o registru smluv“)</w:t>
      </w:r>
      <w:r w:rsidR="001335E3" w:rsidRPr="00916B4D">
        <w:t>.</w:t>
      </w:r>
    </w:p>
    <w:p w14:paraId="0000003C" w14:textId="65574A4E" w:rsidR="00B4795D" w:rsidRDefault="001335E3" w:rsidP="005A32F2">
      <w:pPr>
        <w:ind w:left="567" w:hanging="567"/>
      </w:pPr>
      <w:r>
        <w:t>7.2</w:t>
      </w:r>
      <w:r>
        <w:tab/>
      </w:r>
      <w:r w:rsidR="00A06592">
        <w:t>Mandatář</w:t>
      </w:r>
      <w:r w:rsidR="00A06592" w:rsidRPr="00916B4D">
        <w:t xml:space="preserve"> bere na vědomí, že </w:t>
      </w:r>
      <w:r w:rsidR="00A06592">
        <w:t>klient</w:t>
      </w:r>
      <w:r w:rsidR="00A06592" w:rsidRPr="00916B4D">
        <w:t xml:space="preserve"> je povinen uveřejnit tuto smlouvu</w:t>
      </w:r>
      <w:r w:rsidR="00157619">
        <w:t xml:space="preserve"> v souladu se zákonem o registru smluv </w:t>
      </w:r>
      <w:r w:rsidR="00A06592" w:rsidRPr="00916B4D">
        <w:t xml:space="preserve">a </w:t>
      </w:r>
      <w:r w:rsidR="00157DF5">
        <w:t>zákonem č. 134/2016 Sb., o zadávání veřejných zakázek, ve znění pozdějších předpisů</w:t>
      </w:r>
      <w:r w:rsidR="00A06592" w:rsidRPr="00916B4D">
        <w:t>.</w:t>
      </w:r>
    </w:p>
    <w:p w14:paraId="6797D699" w14:textId="409245DA" w:rsidR="00025BD0" w:rsidRPr="005A32F2" w:rsidRDefault="00025BD0" w:rsidP="005A32F2">
      <w:pPr>
        <w:ind w:left="567" w:hanging="567"/>
      </w:pPr>
      <w:r>
        <w:t>7.3</w:t>
      </w:r>
      <w:r>
        <w:tab/>
        <w:t>Mandatář není opráv</w:t>
      </w:r>
      <w:r w:rsidR="0004596F">
        <w:t xml:space="preserve">něn postoupit pohledávku, která vznikne na základě této smlouvy nebo v souvislosti s ní na třetí osou. Klient není oprávněn postoupit tuto smlouvy ani z části třetí osobě. </w:t>
      </w:r>
    </w:p>
    <w:p w14:paraId="0000003E" w14:textId="4CB3EF96" w:rsidR="00B4795D" w:rsidRPr="005A32F2" w:rsidRDefault="00CD7BCE" w:rsidP="005A32F2">
      <w:pPr>
        <w:ind w:left="567" w:hanging="567"/>
      </w:pPr>
      <w:bookmarkStart w:id="0" w:name="_GoBack"/>
      <w:r w:rsidRPr="005A32F2">
        <w:lastRenderedPageBreak/>
        <w:t>7.</w:t>
      </w:r>
      <w:r w:rsidR="001335E3">
        <w:t>4</w:t>
      </w:r>
      <w:r w:rsidRPr="005A32F2">
        <w:tab/>
        <w:t xml:space="preserve">Tato smlouva je uzavřena a podepsána ve 2 (dvou) stejnopisech v českém jazyce, každý s platností </w:t>
      </w:r>
      <w:bookmarkEnd w:id="0"/>
      <w:r w:rsidRPr="005A32F2">
        <w:t>originálu, z nichž každá ze stran obdrží po 1 (jednom) stejnopise.</w:t>
      </w:r>
    </w:p>
    <w:p w14:paraId="0000003F" w14:textId="2DFB36D8" w:rsidR="00B4795D" w:rsidRPr="005A32F2" w:rsidRDefault="00CD7BCE" w:rsidP="005A32F2">
      <w:pPr>
        <w:ind w:left="567" w:hanging="567"/>
      </w:pPr>
      <w:r w:rsidRPr="005A32F2">
        <w:t>7.</w:t>
      </w:r>
      <w:r w:rsidR="001335E3">
        <w:t>5</w:t>
      </w:r>
      <w:r w:rsidRPr="005A32F2">
        <w:tab/>
        <w:t>Tato smlouva může být měněna pouze vzestupně číslovanými dodatky v písemné formě.</w:t>
      </w:r>
    </w:p>
    <w:p w14:paraId="00000040" w14:textId="1973BEC8" w:rsidR="00B4795D" w:rsidRPr="005A32F2" w:rsidRDefault="00CD7BCE" w:rsidP="005A32F2">
      <w:pPr>
        <w:ind w:left="567" w:hanging="567"/>
      </w:pPr>
      <w:r w:rsidRPr="005A32F2">
        <w:t>7.</w:t>
      </w:r>
      <w:r w:rsidR="001335E3">
        <w:t>6</w:t>
      </w:r>
      <w:r w:rsidRPr="005A32F2">
        <w:tab/>
        <w:t>Smluvní strany tímto prohlašují a potvrzují, že veškerá ustanovení a podmínky této smlouvy byly dohodnuty mezi smluvními stranami svobodně, vážně a určitě, nikoliv v tísni a za nápadně nevýhodných podmínek a na důkaz toho připojují své podpisy:</w:t>
      </w:r>
    </w:p>
    <w:p w14:paraId="00000041" w14:textId="77777777" w:rsidR="00B4795D" w:rsidRPr="005A32F2" w:rsidRDefault="00B4795D" w:rsidP="005A32F2">
      <w:pPr>
        <w:ind w:left="567" w:hanging="567"/>
      </w:pPr>
    </w:p>
    <w:p w14:paraId="00000042" w14:textId="4A58FAEB" w:rsidR="00B4795D" w:rsidRPr="005A32F2" w:rsidRDefault="00CD7BCE" w:rsidP="005A32F2">
      <w:pPr>
        <w:ind w:left="567" w:hanging="567"/>
      </w:pPr>
      <w:r w:rsidRPr="005A32F2">
        <w:t xml:space="preserve">V Praze dne </w:t>
      </w:r>
      <w:proofErr w:type="gramStart"/>
      <w:r w:rsidR="00A839F9">
        <w:t>3.10. 2019</w:t>
      </w:r>
      <w:proofErr w:type="gramEnd"/>
      <w:r w:rsidR="00A839F9">
        <w:tab/>
      </w:r>
      <w:r w:rsidR="00A839F9">
        <w:tab/>
      </w:r>
      <w:r w:rsidR="00A839F9">
        <w:tab/>
      </w:r>
      <w:r w:rsidR="00A839F9">
        <w:tab/>
      </w:r>
      <w:r w:rsidR="00A839F9">
        <w:tab/>
        <w:t>V Praze dne 3.10. 2019</w:t>
      </w:r>
    </w:p>
    <w:p w14:paraId="00000043" w14:textId="7C198416" w:rsidR="00B4795D" w:rsidRDefault="00B4795D" w:rsidP="005A32F2"/>
    <w:p w14:paraId="79ED2897" w14:textId="77777777" w:rsidR="00DC6697" w:rsidRPr="005A32F2" w:rsidRDefault="00DC6697" w:rsidP="005A32F2"/>
    <w:p w14:paraId="00000044" w14:textId="77777777" w:rsidR="00B4795D" w:rsidRPr="005A32F2" w:rsidRDefault="00CD7BCE" w:rsidP="005A32F2">
      <w:pPr>
        <w:ind w:left="567" w:hanging="567"/>
      </w:pPr>
      <w:r w:rsidRPr="005A32F2">
        <w:t>………………………………………………</w:t>
      </w:r>
      <w:r w:rsidRPr="005A32F2">
        <w:tab/>
      </w:r>
      <w:r w:rsidRPr="005A32F2">
        <w:tab/>
      </w:r>
      <w:r w:rsidRPr="005A32F2">
        <w:tab/>
        <w:t>………………………………………………………</w:t>
      </w:r>
    </w:p>
    <w:p w14:paraId="73DBAB94" w14:textId="1F077ACF" w:rsidR="00C6122D" w:rsidRPr="005A32F2" w:rsidRDefault="00CD7BCE" w:rsidP="005A32F2">
      <w:pPr>
        <w:rPr>
          <w:b/>
        </w:rPr>
      </w:pPr>
      <w:r w:rsidRPr="005A32F2">
        <w:rPr>
          <w:b/>
        </w:rPr>
        <w:t>Mgr. Markéta Koubíková, advokátka</w:t>
      </w:r>
      <w:r w:rsidRPr="005A32F2">
        <w:tab/>
      </w:r>
      <w:r w:rsidRPr="005A32F2">
        <w:tab/>
        <w:t xml:space="preserve"> </w:t>
      </w:r>
      <w:r w:rsidR="00087C4B" w:rsidRPr="005A32F2">
        <w:tab/>
      </w:r>
      <w:r w:rsidR="00087C4B" w:rsidRPr="005A32F2">
        <w:rPr>
          <w:b/>
        </w:rPr>
        <w:t xml:space="preserve">Ústav chemických procesů AV ČR, </w:t>
      </w:r>
      <w:proofErr w:type="spellStart"/>
      <w:r w:rsidR="00087C4B" w:rsidRPr="005A32F2">
        <w:rPr>
          <w:b/>
        </w:rPr>
        <w:t>v.v.i</w:t>
      </w:r>
      <w:proofErr w:type="spellEnd"/>
      <w:r w:rsidR="00087C4B" w:rsidRPr="005A32F2">
        <w:rPr>
          <w:b/>
        </w:rPr>
        <w:t>.</w:t>
      </w:r>
    </w:p>
    <w:p w14:paraId="00000045" w14:textId="086ACEFC" w:rsidR="00B4795D" w:rsidRPr="005A32F2" w:rsidRDefault="00087C4B" w:rsidP="005A32F2">
      <w:pPr>
        <w:ind w:left="4950" w:hanging="4950"/>
      </w:pPr>
      <w:r w:rsidRPr="005A32F2">
        <w:rPr>
          <w:b/>
        </w:rPr>
        <w:tab/>
      </w:r>
      <w:r w:rsidRPr="005A32F2">
        <w:rPr>
          <w:b/>
        </w:rPr>
        <w:tab/>
      </w:r>
      <w:r w:rsidR="00157619" w:rsidRPr="00FB57FA">
        <w:rPr>
          <w:b/>
          <w:highlight w:val="black"/>
        </w:rPr>
        <w:t xml:space="preserve">Ing. Miroslav Punčochář, CSc., </w:t>
      </w:r>
      <w:proofErr w:type="spellStart"/>
      <w:r w:rsidR="00157619" w:rsidRPr="00FB57FA">
        <w:rPr>
          <w:b/>
          <w:highlight w:val="black"/>
        </w:rPr>
        <w:t>DSc</w:t>
      </w:r>
      <w:proofErr w:type="spellEnd"/>
      <w:r w:rsidR="00157619" w:rsidRPr="00FB57FA">
        <w:rPr>
          <w:b/>
          <w:highlight w:val="black"/>
        </w:rPr>
        <w:t>., ředitel</w:t>
      </w:r>
    </w:p>
    <w:p w14:paraId="00000046" w14:textId="77777777" w:rsidR="00B4795D" w:rsidRPr="005A32F2" w:rsidRDefault="00B4795D" w:rsidP="005A32F2"/>
    <w:p w14:paraId="10F7C374" w14:textId="77777777" w:rsidR="00EF2FC8" w:rsidRDefault="00EF2FC8">
      <w:bookmarkStart w:id="1" w:name="_gjdgxs" w:colFirst="0" w:colLast="0"/>
      <w:bookmarkEnd w:id="1"/>
      <w:r>
        <w:br w:type="page"/>
      </w:r>
    </w:p>
    <w:p w14:paraId="00000047" w14:textId="465A4AE3" w:rsidR="00B4795D" w:rsidRPr="00EF2FC8" w:rsidRDefault="009D613F">
      <w:pPr>
        <w:rPr>
          <w:b/>
        </w:rPr>
      </w:pPr>
      <w:r w:rsidRPr="00EF2FC8">
        <w:rPr>
          <w:b/>
        </w:rPr>
        <w:lastRenderedPageBreak/>
        <w:t>Příloha č. 1:</w:t>
      </w:r>
    </w:p>
    <w:p w14:paraId="29F3BE4D" w14:textId="2226C88F" w:rsidR="009D613F" w:rsidRDefault="00EF2FC8">
      <w:r>
        <w:t xml:space="preserve">Cena za </w:t>
      </w:r>
      <w:r w:rsidR="00CE710F">
        <w:t>služby podle čl. 1.2 písm. a) smlouvy</w:t>
      </w:r>
      <w: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1"/>
        <w:gridCol w:w="2552"/>
        <w:gridCol w:w="2552"/>
        <w:gridCol w:w="2552"/>
      </w:tblGrid>
      <w:tr w:rsidR="00EF2FC8" w14:paraId="3B085FB5" w14:textId="77777777" w:rsidTr="00EF2FC8">
        <w:tc>
          <w:tcPr>
            <w:tcW w:w="1411" w:type="dxa"/>
          </w:tcPr>
          <w:p w14:paraId="7BA3492B" w14:textId="77777777" w:rsidR="00EF2FC8" w:rsidRDefault="00EF2FC8"/>
        </w:tc>
        <w:tc>
          <w:tcPr>
            <w:tcW w:w="2552" w:type="dxa"/>
            <w:vAlign w:val="center"/>
          </w:tcPr>
          <w:p w14:paraId="423AE8AA" w14:textId="2AFE03ED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cena bez DPH za služby podle čl. 1.2 písm. a) smlouvy</w:t>
            </w:r>
            <w:r>
              <w:rPr>
                <w:b/>
              </w:rPr>
              <w:t xml:space="preserve"> v Kč</w:t>
            </w:r>
          </w:p>
        </w:tc>
        <w:tc>
          <w:tcPr>
            <w:tcW w:w="2552" w:type="dxa"/>
            <w:vAlign w:val="center"/>
          </w:tcPr>
          <w:p w14:paraId="68FC86EA" w14:textId="06F90D34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2552" w:type="dxa"/>
            <w:vAlign w:val="center"/>
          </w:tcPr>
          <w:p w14:paraId="3AD0B1F3" w14:textId="6DE95CA8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cena včetně DPH za služby podle čl. 1.2 písm. a) smlouvy</w:t>
            </w:r>
            <w:r>
              <w:rPr>
                <w:b/>
              </w:rPr>
              <w:t xml:space="preserve"> v Kč</w:t>
            </w:r>
          </w:p>
        </w:tc>
      </w:tr>
      <w:tr w:rsidR="00EF2FC8" w14:paraId="615563FF" w14:textId="77777777" w:rsidTr="009A45EE">
        <w:tc>
          <w:tcPr>
            <w:tcW w:w="1411" w:type="dxa"/>
          </w:tcPr>
          <w:p w14:paraId="4B4C78EC" w14:textId="33FF84DD" w:rsidR="00EF2FC8" w:rsidRDefault="00EF2FC8" w:rsidP="00EF2FC8">
            <w:pPr>
              <w:jc w:val="center"/>
            </w:pPr>
            <w:r>
              <w:t>CELEK 1</w:t>
            </w:r>
          </w:p>
        </w:tc>
        <w:tc>
          <w:tcPr>
            <w:tcW w:w="2552" w:type="dxa"/>
            <w:vAlign w:val="bottom"/>
          </w:tcPr>
          <w:p w14:paraId="4FC7CB3A" w14:textId="74EBBE96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80 000</w:t>
            </w:r>
          </w:p>
        </w:tc>
        <w:tc>
          <w:tcPr>
            <w:tcW w:w="2552" w:type="dxa"/>
            <w:vAlign w:val="bottom"/>
          </w:tcPr>
          <w:p w14:paraId="3ECC5393" w14:textId="12FB6E31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16 800</w:t>
            </w:r>
          </w:p>
        </w:tc>
        <w:tc>
          <w:tcPr>
            <w:tcW w:w="2552" w:type="dxa"/>
            <w:vAlign w:val="bottom"/>
          </w:tcPr>
          <w:p w14:paraId="3FAF10A2" w14:textId="52BEFE47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96 800</w:t>
            </w:r>
          </w:p>
        </w:tc>
      </w:tr>
      <w:tr w:rsidR="00EF2FC8" w14:paraId="7CE5B3D2" w14:textId="77777777" w:rsidTr="009A45EE">
        <w:tc>
          <w:tcPr>
            <w:tcW w:w="1411" w:type="dxa"/>
          </w:tcPr>
          <w:p w14:paraId="23EA2779" w14:textId="3EEFB898" w:rsidR="00EF2FC8" w:rsidRDefault="00EF2FC8" w:rsidP="00EF2FC8">
            <w:pPr>
              <w:jc w:val="center"/>
            </w:pPr>
            <w:r>
              <w:t>CELEK 2</w:t>
            </w:r>
          </w:p>
        </w:tc>
        <w:tc>
          <w:tcPr>
            <w:tcW w:w="2552" w:type="dxa"/>
            <w:vAlign w:val="bottom"/>
          </w:tcPr>
          <w:p w14:paraId="68F90DC5" w14:textId="042DD7A4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53 000</w:t>
            </w:r>
          </w:p>
        </w:tc>
        <w:tc>
          <w:tcPr>
            <w:tcW w:w="2552" w:type="dxa"/>
            <w:vAlign w:val="bottom"/>
          </w:tcPr>
          <w:p w14:paraId="35921CFA" w14:textId="6DB66CFE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11 130</w:t>
            </w:r>
          </w:p>
        </w:tc>
        <w:tc>
          <w:tcPr>
            <w:tcW w:w="2552" w:type="dxa"/>
            <w:vAlign w:val="bottom"/>
          </w:tcPr>
          <w:p w14:paraId="416E7790" w14:textId="0A8031E1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64 130</w:t>
            </w:r>
          </w:p>
        </w:tc>
      </w:tr>
      <w:tr w:rsidR="00EF2FC8" w14:paraId="6A6455C5" w14:textId="77777777" w:rsidTr="009A45EE">
        <w:tc>
          <w:tcPr>
            <w:tcW w:w="1411" w:type="dxa"/>
          </w:tcPr>
          <w:p w14:paraId="75684BE6" w14:textId="616ACF58" w:rsidR="00EF2FC8" w:rsidRDefault="00EF2FC8" w:rsidP="00EF2FC8">
            <w:pPr>
              <w:jc w:val="center"/>
            </w:pPr>
            <w:r>
              <w:t>CELEK 3</w:t>
            </w:r>
          </w:p>
        </w:tc>
        <w:tc>
          <w:tcPr>
            <w:tcW w:w="2552" w:type="dxa"/>
            <w:vAlign w:val="bottom"/>
          </w:tcPr>
          <w:p w14:paraId="3D349F15" w14:textId="730643E6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80 000</w:t>
            </w:r>
          </w:p>
        </w:tc>
        <w:tc>
          <w:tcPr>
            <w:tcW w:w="2552" w:type="dxa"/>
            <w:vAlign w:val="bottom"/>
          </w:tcPr>
          <w:p w14:paraId="26C7AB18" w14:textId="5267D37A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16 800</w:t>
            </w:r>
          </w:p>
        </w:tc>
        <w:tc>
          <w:tcPr>
            <w:tcW w:w="2552" w:type="dxa"/>
            <w:vAlign w:val="bottom"/>
          </w:tcPr>
          <w:p w14:paraId="54FB6F9D" w14:textId="7428D226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96 800</w:t>
            </w:r>
          </w:p>
        </w:tc>
      </w:tr>
      <w:tr w:rsidR="00EF2FC8" w14:paraId="4585E6AD" w14:textId="77777777" w:rsidTr="009A45EE">
        <w:tc>
          <w:tcPr>
            <w:tcW w:w="1411" w:type="dxa"/>
          </w:tcPr>
          <w:p w14:paraId="26115EB2" w14:textId="1CCE5E88" w:rsidR="00EF2FC8" w:rsidRDefault="00EF2FC8" w:rsidP="00EF2FC8">
            <w:pPr>
              <w:jc w:val="center"/>
            </w:pPr>
            <w:r>
              <w:t>CELEK 4</w:t>
            </w:r>
          </w:p>
        </w:tc>
        <w:tc>
          <w:tcPr>
            <w:tcW w:w="2552" w:type="dxa"/>
            <w:vAlign w:val="bottom"/>
          </w:tcPr>
          <w:p w14:paraId="036A9F2B" w14:textId="5D12EC0C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53 000</w:t>
            </w:r>
          </w:p>
        </w:tc>
        <w:tc>
          <w:tcPr>
            <w:tcW w:w="2552" w:type="dxa"/>
            <w:vAlign w:val="bottom"/>
          </w:tcPr>
          <w:p w14:paraId="2C68F98F" w14:textId="39F66618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11 130</w:t>
            </w:r>
          </w:p>
        </w:tc>
        <w:tc>
          <w:tcPr>
            <w:tcW w:w="2552" w:type="dxa"/>
            <w:vAlign w:val="bottom"/>
          </w:tcPr>
          <w:p w14:paraId="523A9A9F" w14:textId="3CB7897A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64 130</w:t>
            </w:r>
          </w:p>
        </w:tc>
      </w:tr>
      <w:tr w:rsidR="00EF2FC8" w14:paraId="6357259D" w14:textId="77777777" w:rsidTr="009A45EE">
        <w:tc>
          <w:tcPr>
            <w:tcW w:w="1411" w:type="dxa"/>
          </w:tcPr>
          <w:p w14:paraId="20BA6DDB" w14:textId="7F362C9E" w:rsidR="00EF2FC8" w:rsidRDefault="00EF2FC8" w:rsidP="00EF2FC8">
            <w:pPr>
              <w:jc w:val="center"/>
            </w:pPr>
            <w:r>
              <w:t>CELEK 5</w:t>
            </w:r>
          </w:p>
        </w:tc>
        <w:tc>
          <w:tcPr>
            <w:tcW w:w="2552" w:type="dxa"/>
            <w:vAlign w:val="bottom"/>
          </w:tcPr>
          <w:p w14:paraId="2B153DBB" w14:textId="6821D03B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63 000</w:t>
            </w:r>
          </w:p>
        </w:tc>
        <w:tc>
          <w:tcPr>
            <w:tcW w:w="2552" w:type="dxa"/>
            <w:vAlign w:val="bottom"/>
          </w:tcPr>
          <w:p w14:paraId="68EDFA3C" w14:textId="743E4923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13 230</w:t>
            </w:r>
          </w:p>
        </w:tc>
        <w:tc>
          <w:tcPr>
            <w:tcW w:w="2552" w:type="dxa"/>
            <w:vAlign w:val="bottom"/>
          </w:tcPr>
          <w:p w14:paraId="0CA5BEB2" w14:textId="1488BE86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76 230</w:t>
            </w:r>
          </w:p>
        </w:tc>
      </w:tr>
      <w:tr w:rsidR="00EF2FC8" w14:paraId="49079987" w14:textId="77777777" w:rsidTr="009A45EE">
        <w:tc>
          <w:tcPr>
            <w:tcW w:w="1411" w:type="dxa"/>
          </w:tcPr>
          <w:p w14:paraId="4C85EF50" w14:textId="1C3AB55B" w:rsidR="00EF2FC8" w:rsidRDefault="00EF2FC8" w:rsidP="00EF2FC8">
            <w:pPr>
              <w:jc w:val="center"/>
            </w:pPr>
            <w:r>
              <w:t>CELEK 6</w:t>
            </w:r>
          </w:p>
        </w:tc>
        <w:tc>
          <w:tcPr>
            <w:tcW w:w="2552" w:type="dxa"/>
            <w:vAlign w:val="bottom"/>
          </w:tcPr>
          <w:p w14:paraId="493AC0E7" w14:textId="5D01E96E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32 000</w:t>
            </w:r>
          </w:p>
        </w:tc>
        <w:tc>
          <w:tcPr>
            <w:tcW w:w="2552" w:type="dxa"/>
            <w:vAlign w:val="bottom"/>
          </w:tcPr>
          <w:p w14:paraId="6E074CE2" w14:textId="2D64F721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6 720</w:t>
            </w:r>
          </w:p>
        </w:tc>
        <w:tc>
          <w:tcPr>
            <w:tcW w:w="2552" w:type="dxa"/>
            <w:vAlign w:val="bottom"/>
          </w:tcPr>
          <w:p w14:paraId="291D7AAE" w14:textId="1569827C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38 720</w:t>
            </w:r>
          </w:p>
        </w:tc>
      </w:tr>
      <w:tr w:rsidR="00EF2FC8" w14:paraId="58EEBCB4" w14:textId="77777777" w:rsidTr="009A45EE">
        <w:tc>
          <w:tcPr>
            <w:tcW w:w="1411" w:type="dxa"/>
          </w:tcPr>
          <w:p w14:paraId="13307A66" w14:textId="68A2DAC7" w:rsidR="00EF2FC8" w:rsidRDefault="00EF2FC8" w:rsidP="00EF2FC8">
            <w:pPr>
              <w:jc w:val="center"/>
            </w:pPr>
            <w:r>
              <w:t>CELEK 7</w:t>
            </w:r>
          </w:p>
        </w:tc>
        <w:tc>
          <w:tcPr>
            <w:tcW w:w="2552" w:type="dxa"/>
            <w:vAlign w:val="bottom"/>
          </w:tcPr>
          <w:p w14:paraId="45D45F50" w14:textId="0BBF8C31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35 000</w:t>
            </w:r>
          </w:p>
        </w:tc>
        <w:tc>
          <w:tcPr>
            <w:tcW w:w="2552" w:type="dxa"/>
            <w:vAlign w:val="bottom"/>
          </w:tcPr>
          <w:p w14:paraId="7F596C1B" w14:textId="4E71EFAB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7 350</w:t>
            </w:r>
          </w:p>
        </w:tc>
        <w:tc>
          <w:tcPr>
            <w:tcW w:w="2552" w:type="dxa"/>
            <w:vAlign w:val="bottom"/>
          </w:tcPr>
          <w:p w14:paraId="2495452A" w14:textId="040451FC" w:rsidR="00EF2FC8" w:rsidRPr="00EF2FC8" w:rsidRDefault="00EF2FC8" w:rsidP="00EF2FC8">
            <w:pPr>
              <w:jc w:val="center"/>
            </w:pPr>
            <w:r w:rsidRPr="00EF2FC8">
              <w:rPr>
                <w:color w:val="000000"/>
              </w:rPr>
              <w:t>42 350</w:t>
            </w:r>
          </w:p>
        </w:tc>
      </w:tr>
      <w:tr w:rsidR="00EF2FC8" w14:paraId="029D9406" w14:textId="77777777" w:rsidTr="009A45EE">
        <w:tc>
          <w:tcPr>
            <w:tcW w:w="1411" w:type="dxa"/>
          </w:tcPr>
          <w:p w14:paraId="59CA3D93" w14:textId="70577AF6" w:rsidR="00EF2FC8" w:rsidRDefault="00EF2FC8" w:rsidP="00EF2FC8">
            <w:pPr>
              <w:jc w:val="center"/>
            </w:pPr>
            <w:r w:rsidRPr="00EF2FC8">
              <w:rPr>
                <w:b/>
              </w:rPr>
              <w:t>CELKEM</w:t>
            </w:r>
          </w:p>
        </w:tc>
        <w:tc>
          <w:tcPr>
            <w:tcW w:w="2552" w:type="dxa"/>
            <w:vAlign w:val="bottom"/>
          </w:tcPr>
          <w:p w14:paraId="3EA917BB" w14:textId="34C9E260" w:rsidR="00EF2FC8" w:rsidRPr="00EF2FC8" w:rsidRDefault="00EF2FC8" w:rsidP="00EF2FC8">
            <w:pPr>
              <w:jc w:val="center"/>
            </w:pPr>
            <w:r w:rsidRPr="00EF2FC8">
              <w:rPr>
                <w:b/>
                <w:color w:val="000000"/>
              </w:rPr>
              <w:t>396 000</w:t>
            </w:r>
          </w:p>
        </w:tc>
        <w:tc>
          <w:tcPr>
            <w:tcW w:w="2552" w:type="dxa"/>
            <w:vAlign w:val="bottom"/>
          </w:tcPr>
          <w:p w14:paraId="780026EA" w14:textId="3FFE4EB2" w:rsidR="00EF2FC8" w:rsidRPr="00EF2FC8" w:rsidRDefault="00EF2FC8" w:rsidP="00EF2FC8">
            <w:pPr>
              <w:jc w:val="center"/>
            </w:pPr>
            <w:r w:rsidRPr="00EF2FC8">
              <w:rPr>
                <w:b/>
                <w:color w:val="000000"/>
              </w:rPr>
              <w:t>83 160</w:t>
            </w:r>
          </w:p>
        </w:tc>
        <w:tc>
          <w:tcPr>
            <w:tcW w:w="2552" w:type="dxa"/>
            <w:vAlign w:val="bottom"/>
          </w:tcPr>
          <w:p w14:paraId="38E1D1E0" w14:textId="1A1DE9FE" w:rsidR="00EF2FC8" w:rsidRPr="00EF2FC8" w:rsidRDefault="00EF2FC8" w:rsidP="00EF2FC8">
            <w:pPr>
              <w:jc w:val="center"/>
            </w:pPr>
            <w:r w:rsidRPr="00EF2FC8">
              <w:rPr>
                <w:b/>
                <w:color w:val="000000"/>
              </w:rPr>
              <w:t>479 160</w:t>
            </w:r>
          </w:p>
        </w:tc>
      </w:tr>
    </w:tbl>
    <w:p w14:paraId="36CC28D5" w14:textId="77777777" w:rsidR="00D678AB" w:rsidRDefault="00D678AB" w:rsidP="00EF2FC8">
      <w:pPr>
        <w:rPr>
          <w:b/>
        </w:rPr>
      </w:pPr>
    </w:p>
    <w:p w14:paraId="0B1BA252" w14:textId="31F2484B" w:rsidR="00EF2FC8" w:rsidRPr="00EF2FC8" w:rsidRDefault="00EF2FC8" w:rsidP="00EF2FC8">
      <w:pPr>
        <w:rPr>
          <w:b/>
        </w:rPr>
      </w:pPr>
      <w:r w:rsidRPr="00EF2FC8">
        <w:rPr>
          <w:b/>
        </w:rPr>
        <w:t xml:space="preserve">Cena za služby podle čl. 1.2 písm. </w:t>
      </w:r>
      <w:r w:rsidR="00064CAB">
        <w:rPr>
          <w:b/>
        </w:rPr>
        <w:t>b</w:t>
      </w:r>
      <w:r w:rsidRPr="00EF2FC8">
        <w:rPr>
          <w:b/>
        </w:rPr>
        <w:t>) smlouvy: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1"/>
        <w:gridCol w:w="2552"/>
        <w:gridCol w:w="2552"/>
        <w:gridCol w:w="2552"/>
      </w:tblGrid>
      <w:tr w:rsidR="00EF2FC8" w14:paraId="58EB3304" w14:textId="77777777" w:rsidTr="00A016BA">
        <w:tc>
          <w:tcPr>
            <w:tcW w:w="1411" w:type="dxa"/>
          </w:tcPr>
          <w:p w14:paraId="5A84CB57" w14:textId="77777777" w:rsidR="00EF2FC8" w:rsidRDefault="00EF2FC8" w:rsidP="00A016BA"/>
        </w:tc>
        <w:tc>
          <w:tcPr>
            <w:tcW w:w="2552" w:type="dxa"/>
            <w:vAlign w:val="center"/>
          </w:tcPr>
          <w:p w14:paraId="3379B268" w14:textId="013B87E7" w:rsidR="00EF2FC8" w:rsidRPr="00EF2FC8" w:rsidRDefault="00EF2FC8" w:rsidP="00A016BA">
            <w:pPr>
              <w:jc w:val="center"/>
              <w:rPr>
                <w:b/>
              </w:rPr>
            </w:pPr>
            <w:r w:rsidRPr="00EF2FC8">
              <w:rPr>
                <w:b/>
              </w:rPr>
              <w:t xml:space="preserve">cena bez DPH za služby podle čl. 1.2 písm. </w:t>
            </w:r>
            <w:r w:rsidR="002A001C">
              <w:rPr>
                <w:b/>
              </w:rPr>
              <w:t>b</w:t>
            </w:r>
            <w:r w:rsidRPr="00EF2FC8">
              <w:rPr>
                <w:b/>
              </w:rPr>
              <w:t>) smlouvy</w:t>
            </w:r>
            <w:r>
              <w:rPr>
                <w:b/>
              </w:rPr>
              <w:t xml:space="preserve"> v Kč</w:t>
            </w:r>
          </w:p>
        </w:tc>
        <w:tc>
          <w:tcPr>
            <w:tcW w:w="2552" w:type="dxa"/>
            <w:vAlign w:val="center"/>
          </w:tcPr>
          <w:p w14:paraId="5EBE058A" w14:textId="77777777" w:rsidR="00EF2FC8" w:rsidRPr="00EF2FC8" w:rsidRDefault="00EF2FC8" w:rsidP="00A016BA">
            <w:pPr>
              <w:jc w:val="center"/>
              <w:rPr>
                <w:b/>
              </w:rPr>
            </w:pPr>
            <w:r w:rsidRPr="00EF2FC8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2552" w:type="dxa"/>
            <w:vAlign w:val="center"/>
          </w:tcPr>
          <w:p w14:paraId="3AE75D18" w14:textId="54584255" w:rsidR="00EF2FC8" w:rsidRPr="00EF2FC8" w:rsidRDefault="00EF2FC8" w:rsidP="00A016BA">
            <w:pPr>
              <w:jc w:val="center"/>
              <w:rPr>
                <w:b/>
              </w:rPr>
            </w:pPr>
            <w:r w:rsidRPr="00EF2FC8">
              <w:rPr>
                <w:b/>
              </w:rPr>
              <w:t xml:space="preserve">cena včetně DPH za služby podle čl. 1.2 písm. </w:t>
            </w:r>
            <w:r w:rsidR="002A001C">
              <w:rPr>
                <w:b/>
              </w:rPr>
              <w:t>b</w:t>
            </w:r>
            <w:r w:rsidRPr="00EF2FC8">
              <w:rPr>
                <w:b/>
              </w:rPr>
              <w:t>) smlouvy</w:t>
            </w:r>
            <w:r>
              <w:rPr>
                <w:b/>
              </w:rPr>
              <w:t xml:space="preserve"> v Kč</w:t>
            </w:r>
          </w:p>
        </w:tc>
      </w:tr>
      <w:tr w:rsidR="00EF2FC8" w14:paraId="6911EAA4" w14:textId="77777777" w:rsidTr="00EF2FC8">
        <w:tc>
          <w:tcPr>
            <w:tcW w:w="1411" w:type="dxa"/>
          </w:tcPr>
          <w:p w14:paraId="11743A6F" w14:textId="7056FE1D" w:rsidR="00EF2FC8" w:rsidRDefault="00EF2FC8" w:rsidP="00A016BA">
            <w:pPr>
              <w:jc w:val="center"/>
            </w:pPr>
            <w:r w:rsidRPr="00EF2FC8">
              <w:rPr>
                <w:b/>
              </w:rPr>
              <w:t xml:space="preserve">služby podle čl. 1.2 písm. </w:t>
            </w:r>
            <w:r w:rsidR="00CE710F">
              <w:rPr>
                <w:b/>
              </w:rPr>
              <w:t>b</w:t>
            </w:r>
            <w:r w:rsidRPr="00EF2FC8">
              <w:rPr>
                <w:b/>
              </w:rPr>
              <w:t>) smlouvy</w:t>
            </w:r>
          </w:p>
        </w:tc>
        <w:tc>
          <w:tcPr>
            <w:tcW w:w="2552" w:type="dxa"/>
            <w:vAlign w:val="center"/>
          </w:tcPr>
          <w:p w14:paraId="32F273A4" w14:textId="7BC58489" w:rsidR="00EF2FC8" w:rsidRPr="00EF2FC8" w:rsidRDefault="00EF2FC8" w:rsidP="00EF2FC8">
            <w:pPr>
              <w:jc w:val="center"/>
            </w:pPr>
            <w:r>
              <w:t>150 000</w:t>
            </w:r>
          </w:p>
        </w:tc>
        <w:tc>
          <w:tcPr>
            <w:tcW w:w="2552" w:type="dxa"/>
            <w:vAlign w:val="center"/>
          </w:tcPr>
          <w:p w14:paraId="1A4B20B7" w14:textId="084D70A6" w:rsidR="00EF2FC8" w:rsidRPr="00EF2FC8" w:rsidRDefault="00EF2FC8" w:rsidP="00EF2FC8">
            <w:pPr>
              <w:jc w:val="center"/>
            </w:pPr>
            <w:r>
              <w:t>31 500</w:t>
            </w:r>
          </w:p>
        </w:tc>
        <w:tc>
          <w:tcPr>
            <w:tcW w:w="2552" w:type="dxa"/>
            <w:vAlign w:val="center"/>
          </w:tcPr>
          <w:p w14:paraId="4F32C08E" w14:textId="064EDB32" w:rsidR="00EF2FC8" w:rsidRPr="00EF2FC8" w:rsidRDefault="00EF2FC8" w:rsidP="00EF2FC8">
            <w:pPr>
              <w:jc w:val="center"/>
            </w:pPr>
            <w:r>
              <w:t>181 500</w:t>
            </w:r>
          </w:p>
        </w:tc>
      </w:tr>
      <w:tr w:rsidR="00EF2FC8" w14:paraId="72ADD867" w14:textId="77777777" w:rsidTr="00EF2FC8">
        <w:tc>
          <w:tcPr>
            <w:tcW w:w="1411" w:type="dxa"/>
          </w:tcPr>
          <w:p w14:paraId="6F63745C" w14:textId="77777777" w:rsidR="00EF2FC8" w:rsidRDefault="00EF2FC8" w:rsidP="00EF2FC8">
            <w:pPr>
              <w:jc w:val="center"/>
            </w:pPr>
            <w:r w:rsidRPr="00EF2FC8">
              <w:rPr>
                <w:b/>
              </w:rPr>
              <w:t>CELKEM</w:t>
            </w:r>
          </w:p>
        </w:tc>
        <w:tc>
          <w:tcPr>
            <w:tcW w:w="2552" w:type="dxa"/>
            <w:vAlign w:val="center"/>
          </w:tcPr>
          <w:p w14:paraId="5573E502" w14:textId="44DD26F8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150 000</w:t>
            </w:r>
          </w:p>
        </w:tc>
        <w:tc>
          <w:tcPr>
            <w:tcW w:w="2552" w:type="dxa"/>
            <w:vAlign w:val="center"/>
          </w:tcPr>
          <w:p w14:paraId="5A2553AB" w14:textId="1C083245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31 500</w:t>
            </w:r>
          </w:p>
        </w:tc>
        <w:tc>
          <w:tcPr>
            <w:tcW w:w="2552" w:type="dxa"/>
            <w:vAlign w:val="center"/>
          </w:tcPr>
          <w:p w14:paraId="6507AE12" w14:textId="3F6BDB18" w:rsidR="00EF2FC8" w:rsidRPr="00EF2FC8" w:rsidRDefault="00EF2FC8" w:rsidP="00EF2FC8">
            <w:pPr>
              <w:jc w:val="center"/>
              <w:rPr>
                <w:b/>
              </w:rPr>
            </w:pPr>
            <w:r w:rsidRPr="00EF2FC8">
              <w:rPr>
                <w:b/>
              </w:rPr>
              <w:t>181 500</w:t>
            </w:r>
          </w:p>
        </w:tc>
      </w:tr>
    </w:tbl>
    <w:p w14:paraId="29137F87" w14:textId="677359E8" w:rsidR="00EF2FC8" w:rsidRDefault="00EF2FC8" w:rsidP="00EF2FC8"/>
    <w:p w14:paraId="4F4D0A59" w14:textId="2EB9B8C5" w:rsidR="00CE710F" w:rsidRPr="00BD4673" w:rsidRDefault="00CE710F" w:rsidP="00EF2FC8">
      <w:pPr>
        <w:rPr>
          <w:b/>
        </w:rPr>
      </w:pPr>
      <w:r w:rsidRPr="00BD4673">
        <w:rPr>
          <w:b/>
        </w:rPr>
        <w:t>Celková cena za služby podle čl. 1.2 smlouvy: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10F" w14:paraId="39E05369" w14:textId="77777777" w:rsidTr="00AD7CDF">
        <w:tc>
          <w:tcPr>
            <w:tcW w:w="2265" w:type="dxa"/>
          </w:tcPr>
          <w:p w14:paraId="6528C234" w14:textId="77777777" w:rsidR="00CE710F" w:rsidRDefault="00CE710F" w:rsidP="00EF2FC8"/>
        </w:tc>
        <w:tc>
          <w:tcPr>
            <w:tcW w:w="2265" w:type="dxa"/>
            <w:vAlign w:val="center"/>
          </w:tcPr>
          <w:p w14:paraId="67AF38A7" w14:textId="51F08266" w:rsidR="00CE710F" w:rsidRDefault="00CE710F" w:rsidP="00AD7CDF">
            <w:pPr>
              <w:jc w:val="center"/>
            </w:pPr>
            <w:r w:rsidRPr="00EF2FC8">
              <w:rPr>
                <w:b/>
              </w:rPr>
              <w:t>cena bez DPH za služby podle čl. 1.2 smlouvy</w:t>
            </w:r>
            <w:r>
              <w:rPr>
                <w:b/>
              </w:rPr>
              <w:t xml:space="preserve"> v Kč</w:t>
            </w:r>
          </w:p>
        </w:tc>
        <w:tc>
          <w:tcPr>
            <w:tcW w:w="2266" w:type="dxa"/>
            <w:vAlign w:val="center"/>
          </w:tcPr>
          <w:p w14:paraId="481D50DC" w14:textId="2115B1B3" w:rsidR="00CE710F" w:rsidRDefault="00CE710F" w:rsidP="00AD7CDF">
            <w:pPr>
              <w:jc w:val="center"/>
            </w:pPr>
            <w:r w:rsidRPr="00EF2FC8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2266" w:type="dxa"/>
            <w:vAlign w:val="center"/>
          </w:tcPr>
          <w:p w14:paraId="27B3DADF" w14:textId="5F0909A7" w:rsidR="00CE710F" w:rsidRDefault="00CE710F" w:rsidP="00AD7CDF">
            <w:pPr>
              <w:jc w:val="center"/>
            </w:pPr>
            <w:r w:rsidRPr="00EF2FC8">
              <w:rPr>
                <w:b/>
              </w:rPr>
              <w:t>cena včetně DPH za služby podle čl. 1.2 smlouvy</w:t>
            </w:r>
            <w:r>
              <w:rPr>
                <w:b/>
              </w:rPr>
              <w:t xml:space="preserve"> v Kč</w:t>
            </w:r>
          </w:p>
        </w:tc>
      </w:tr>
      <w:tr w:rsidR="00CE710F" w14:paraId="26AC7615" w14:textId="77777777" w:rsidTr="00CE710F">
        <w:tc>
          <w:tcPr>
            <w:tcW w:w="2265" w:type="dxa"/>
          </w:tcPr>
          <w:p w14:paraId="6DECB809" w14:textId="51D4FCDE" w:rsidR="00CE710F" w:rsidRDefault="00CE710F" w:rsidP="00EF2FC8">
            <w:r>
              <w:t>služby podle čl. 1.2 písm. a) smlouvy</w:t>
            </w:r>
          </w:p>
        </w:tc>
        <w:tc>
          <w:tcPr>
            <w:tcW w:w="2265" w:type="dxa"/>
          </w:tcPr>
          <w:p w14:paraId="2D5D29C1" w14:textId="2D08A0CA" w:rsidR="00CE710F" w:rsidRDefault="00CE710F" w:rsidP="00CE710F">
            <w:pPr>
              <w:jc w:val="center"/>
            </w:pPr>
            <w:r>
              <w:t>396 000</w:t>
            </w:r>
          </w:p>
        </w:tc>
        <w:tc>
          <w:tcPr>
            <w:tcW w:w="2266" w:type="dxa"/>
          </w:tcPr>
          <w:p w14:paraId="6A17ADF2" w14:textId="3217BF99" w:rsidR="00CE710F" w:rsidRDefault="00CE710F" w:rsidP="00CE710F">
            <w:pPr>
              <w:jc w:val="center"/>
            </w:pPr>
            <w:r>
              <w:t>83 160</w:t>
            </w:r>
          </w:p>
        </w:tc>
        <w:tc>
          <w:tcPr>
            <w:tcW w:w="2266" w:type="dxa"/>
          </w:tcPr>
          <w:p w14:paraId="29791F24" w14:textId="0D680887" w:rsidR="00CE710F" w:rsidRDefault="00CE710F" w:rsidP="00CE710F">
            <w:pPr>
              <w:jc w:val="center"/>
            </w:pPr>
            <w:r>
              <w:t>479 160</w:t>
            </w:r>
          </w:p>
        </w:tc>
      </w:tr>
      <w:tr w:rsidR="00CE710F" w14:paraId="0849CD61" w14:textId="77777777" w:rsidTr="00CE710F">
        <w:tc>
          <w:tcPr>
            <w:tcW w:w="2265" w:type="dxa"/>
          </w:tcPr>
          <w:p w14:paraId="2FF9B8E7" w14:textId="55D98C3C" w:rsidR="00CE710F" w:rsidRDefault="00CE710F" w:rsidP="00EF2FC8">
            <w:r>
              <w:t>služby podle čl. 1.2 písm. b) smlouvy</w:t>
            </w:r>
          </w:p>
        </w:tc>
        <w:tc>
          <w:tcPr>
            <w:tcW w:w="2265" w:type="dxa"/>
          </w:tcPr>
          <w:p w14:paraId="1A373F20" w14:textId="5FBA9477" w:rsidR="00CE710F" w:rsidRDefault="00CE710F" w:rsidP="00CE710F">
            <w:pPr>
              <w:jc w:val="center"/>
            </w:pPr>
            <w:r>
              <w:t>150 000</w:t>
            </w:r>
          </w:p>
        </w:tc>
        <w:tc>
          <w:tcPr>
            <w:tcW w:w="2266" w:type="dxa"/>
          </w:tcPr>
          <w:p w14:paraId="547D73DC" w14:textId="6072CBFB" w:rsidR="00CE710F" w:rsidRDefault="00CE710F" w:rsidP="00CE710F">
            <w:pPr>
              <w:jc w:val="center"/>
            </w:pPr>
            <w:r>
              <w:t>31 500</w:t>
            </w:r>
          </w:p>
        </w:tc>
        <w:tc>
          <w:tcPr>
            <w:tcW w:w="2266" w:type="dxa"/>
          </w:tcPr>
          <w:p w14:paraId="6BD29277" w14:textId="11A67411" w:rsidR="00CE710F" w:rsidRDefault="00CE710F" w:rsidP="00CE710F">
            <w:pPr>
              <w:jc w:val="center"/>
            </w:pPr>
            <w:r>
              <w:t>181 500</w:t>
            </w:r>
          </w:p>
        </w:tc>
      </w:tr>
      <w:tr w:rsidR="00CE710F" w14:paraId="2415846C" w14:textId="77777777" w:rsidTr="00CE710F">
        <w:tc>
          <w:tcPr>
            <w:tcW w:w="2265" w:type="dxa"/>
          </w:tcPr>
          <w:p w14:paraId="413ABA7A" w14:textId="4E8C98F8" w:rsidR="00CE710F" w:rsidRPr="00CE710F" w:rsidRDefault="00CE710F" w:rsidP="00CE710F">
            <w:pPr>
              <w:jc w:val="right"/>
              <w:rPr>
                <w:b/>
              </w:rPr>
            </w:pPr>
            <w:r w:rsidRPr="00CE710F">
              <w:rPr>
                <w:b/>
              </w:rPr>
              <w:t>CELKEM</w:t>
            </w:r>
          </w:p>
        </w:tc>
        <w:tc>
          <w:tcPr>
            <w:tcW w:w="2265" w:type="dxa"/>
          </w:tcPr>
          <w:p w14:paraId="0510B2AA" w14:textId="7F36D80A" w:rsidR="00CE710F" w:rsidRPr="00BD4673" w:rsidRDefault="00CE710F" w:rsidP="00CE710F">
            <w:pPr>
              <w:jc w:val="center"/>
              <w:rPr>
                <w:b/>
              </w:rPr>
            </w:pPr>
            <w:r w:rsidRPr="00BD4673">
              <w:rPr>
                <w:b/>
              </w:rPr>
              <w:t>546 000</w:t>
            </w:r>
          </w:p>
        </w:tc>
        <w:tc>
          <w:tcPr>
            <w:tcW w:w="2266" w:type="dxa"/>
          </w:tcPr>
          <w:p w14:paraId="6CA2DD27" w14:textId="0C4DACD1" w:rsidR="00CE710F" w:rsidRPr="00BD4673" w:rsidRDefault="00CE710F" w:rsidP="00CE710F">
            <w:pPr>
              <w:jc w:val="center"/>
              <w:rPr>
                <w:b/>
              </w:rPr>
            </w:pPr>
            <w:r w:rsidRPr="00BD4673">
              <w:rPr>
                <w:b/>
              </w:rPr>
              <w:t>114 660</w:t>
            </w:r>
          </w:p>
        </w:tc>
        <w:tc>
          <w:tcPr>
            <w:tcW w:w="2266" w:type="dxa"/>
          </w:tcPr>
          <w:p w14:paraId="3F0B0041" w14:textId="7629FBD6" w:rsidR="00CE710F" w:rsidRPr="00BD4673" w:rsidRDefault="00CE710F" w:rsidP="00CE710F">
            <w:pPr>
              <w:jc w:val="center"/>
              <w:rPr>
                <w:b/>
              </w:rPr>
            </w:pPr>
            <w:r w:rsidRPr="00BD4673">
              <w:rPr>
                <w:b/>
              </w:rPr>
              <w:t>660 660</w:t>
            </w:r>
          </w:p>
        </w:tc>
      </w:tr>
    </w:tbl>
    <w:p w14:paraId="25F21C22" w14:textId="77777777" w:rsidR="00CE710F" w:rsidRDefault="00CE710F" w:rsidP="00EF2FC8"/>
    <w:p w14:paraId="71228D51" w14:textId="77777777" w:rsidR="00CE710F" w:rsidRDefault="00CE710F" w:rsidP="00EF2FC8"/>
    <w:p w14:paraId="10D0E19C" w14:textId="4C131839" w:rsidR="002A001C" w:rsidRDefault="002A001C" w:rsidP="002A001C">
      <w:pPr>
        <w:rPr>
          <w:b/>
        </w:rPr>
      </w:pPr>
      <w:r>
        <w:rPr>
          <w:b/>
        </w:rPr>
        <w:t xml:space="preserve">Hodinová sazba </w:t>
      </w:r>
      <w:r w:rsidRPr="00EF2FC8">
        <w:rPr>
          <w:b/>
        </w:rPr>
        <w:t>podle smlouvy: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1"/>
        <w:gridCol w:w="2552"/>
        <w:gridCol w:w="2552"/>
        <w:gridCol w:w="2552"/>
      </w:tblGrid>
      <w:tr w:rsidR="002A001C" w14:paraId="718B05BD" w14:textId="77777777" w:rsidTr="00E57218">
        <w:tc>
          <w:tcPr>
            <w:tcW w:w="1411" w:type="dxa"/>
          </w:tcPr>
          <w:p w14:paraId="6D76C8E1" w14:textId="77777777" w:rsidR="002A001C" w:rsidRDefault="002A001C" w:rsidP="00E57218"/>
        </w:tc>
        <w:tc>
          <w:tcPr>
            <w:tcW w:w="2552" w:type="dxa"/>
            <w:vAlign w:val="center"/>
          </w:tcPr>
          <w:p w14:paraId="01054F63" w14:textId="63D951C1" w:rsidR="002A001C" w:rsidRPr="00EF2FC8" w:rsidRDefault="002A001C" w:rsidP="00E57218">
            <w:pPr>
              <w:jc w:val="center"/>
              <w:rPr>
                <w:b/>
              </w:rPr>
            </w:pPr>
            <w:r w:rsidRPr="00EF2FC8">
              <w:rPr>
                <w:b/>
              </w:rPr>
              <w:t xml:space="preserve">cena bez DPH </w:t>
            </w:r>
          </w:p>
        </w:tc>
        <w:tc>
          <w:tcPr>
            <w:tcW w:w="2552" w:type="dxa"/>
            <w:vAlign w:val="center"/>
          </w:tcPr>
          <w:p w14:paraId="43C32EF4" w14:textId="77777777" w:rsidR="002A001C" w:rsidRPr="00EF2FC8" w:rsidRDefault="002A001C" w:rsidP="00E57218">
            <w:pPr>
              <w:jc w:val="center"/>
              <w:rPr>
                <w:b/>
              </w:rPr>
            </w:pPr>
            <w:r w:rsidRPr="00EF2FC8">
              <w:rPr>
                <w:b/>
              </w:rPr>
              <w:t>DPH</w:t>
            </w:r>
            <w:r>
              <w:rPr>
                <w:b/>
              </w:rPr>
              <w:t xml:space="preserve"> v Kč</w:t>
            </w:r>
          </w:p>
        </w:tc>
        <w:tc>
          <w:tcPr>
            <w:tcW w:w="2552" w:type="dxa"/>
            <w:vAlign w:val="center"/>
          </w:tcPr>
          <w:p w14:paraId="31ED2401" w14:textId="232232BB" w:rsidR="002A001C" w:rsidRPr="00EF2FC8" w:rsidRDefault="002A001C" w:rsidP="00E57218">
            <w:pPr>
              <w:jc w:val="center"/>
              <w:rPr>
                <w:b/>
              </w:rPr>
            </w:pPr>
            <w:r w:rsidRPr="00EF2FC8">
              <w:rPr>
                <w:b/>
              </w:rPr>
              <w:t xml:space="preserve">cena včetně DPH </w:t>
            </w:r>
          </w:p>
        </w:tc>
      </w:tr>
      <w:tr w:rsidR="002A001C" w14:paraId="69C6224B" w14:textId="77777777" w:rsidTr="00E57218">
        <w:tc>
          <w:tcPr>
            <w:tcW w:w="1411" w:type="dxa"/>
          </w:tcPr>
          <w:p w14:paraId="7D681985" w14:textId="0A3EEC5B" w:rsidR="002A001C" w:rsidRDefault="002A001C" w:rsidP="00E57218">
            <w:pPr>
              <w:jc w:val="center"/>
            </w:pPr>
            <w:r>
              <w:rPr>
                <w:b/>
              </w:rPr>
              <w:t>hodinová sazba</w:t>
            </w:r>
          </w:p>
        </w:tc>
        <w:tc>
          <w:tcPr>
            <w:tcW w:w="2552" w:type="dxa"/>
            <w:vAlign w:val="center"/>
          </w:tcPr>
          <w:p w14:paraId="1DA7F8E2" w14:textId="1E9026F0" w:rsidR="002A001C" w:rsidRPr="00EF2FC8" w:rsidRDefault="002A001C" w:rsidP="00E57218">
            <w:pPr>
              <w:jc w:val="center"/>
            </w:pPr>
            <w:r>
              <w:t>1 000</w:t>
            </w:r>
          </w:p>
        </w:tc>
        <w:tc>
          <w:tcPr>
            <w:tcW w:w="2552" w:type="dxa"/>
            <w:vAlign w:val="center"/>
          </w:tcPr>
          <w:p w14:paraId="5003A96D" w14:textId="2BA4ECB1" w:rsidR="002A001C" w:rsidRPr="00EF2FC8" w:rsidRDefault="002A001C" w:rsidP="00E57218">
            <w:pPr>
              <w:jc w:val="center"/>
            </w:pPr>
            <w:r>
              <w:t>210</w:t>
            </w:r>
          </w:p>
        </w:tc>
        <w:tc>
          <w:tcPr>
            <w:tcW w:w="2552" w:type="dxa"/>
            <w:vAlign w:val="center"/>
          </w:tcPr>
          <w:p w14:paraId="3787A4B2" w14:textId="3CF3318A" w:rsidR="002A001C" w:rsidRPr="00EF2FC8" w:rsidRDefault="002A001C" w:rsidP="00E57218">
            <w:pPr>
              <w:jc w:val="center"/>
            </w:pPr>
            <w:r>
              <w:t>1 210</w:t>
            </w:r>
          </w:p>
        </w:tc>
      </w:tr>
    </w:tbl>
    <w:p w14:paraId="1A0FDBFA" w14:textId="77777777" w:rsidR="002A001C" w:rsidRPr="00EF2FC8" w:rsidRDefault="002A001C" w:rsidP="002A001C">
      <w:pPr>
        <w:rPr>
          <w:b/>
        </w:rPr>
      </w:pPr>
    </w:p>
    <w:p w14:paraId="401B05E0" w14:textId="77777777" w:rsidR="00EF2FC8" w:rsidRDefault="00EF2FC8" w:rsidP="00EF2FC8"/>
    <w:p w14:paraId="70D088C3" w14:textId="77777777" w:rsidR="00EF2FC8" w:rsidRDefault="00EF2FC8"/>
    <w:sectPr w:rsidR="00EF2FC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B329" w14:textId="77777777" w:rsidR="003D7BB3" w:rsidRDefault="003D7BB3">
      <w:pPr>
        <w:spacing w:after="0" w:line="240" w:lineRule="auto"/>
      </w:pPr>
      <w:r>
        <w:separator/>
      </w:r>
    </w:p>
  </w:endnote>
  <w:endnote w:type="continuationSeparator" w:id="0">
    <w:p w14:paraId="5DBC0A0E" w14:textId="77777777" w:rsidR="003D7BB3" w:rsidRDefault="003D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167EA6EC" w:rsidR="00B4795D" w:rsidRDefault="00CD7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39F9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6786" w14:textId="77777777" w:rsidR="003D7BB3" w:rsidRDefault="003D7BB3">
      <w:pPr>
        <w:spacing w:after="0" w:line="240" w:lineRule="auto"/>
      </w:pPr>
      <w:r>
        <w:separator/>
      </w:r>
    </w:p>
  </w:footnote>
  <w:footnote w:type="continuationSeparator" w:id="0">
    <w:p w14:paraId="30F90AA5" w14:textId="77777777" w:rsidR="003D7BB3" w:rsidRDefault="003D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A8A9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left"/>
      <w:rPr>
        <w:b/>
        <w:color w:val="000000"/>
      </w:rPr>
    </w:pPr>
    <w:r w:rsidRPr="00D5064E">
      <w:rPr>
        <w:b/>
        <w:noProof/>
        <w:color w:val="000000"/>
      </w:rPr>
      <w:drawing>
        <wp:inline distT="0" distB="0" distL="0" distR="0" wp14:anchorId="45094909" wp14:editId="1043B2DE">
          <wp:extent cx="2939118" cy="7066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768" cy="72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</w:rPr>
      <w:t xml:space="preserve"> </w:t>
    </w:r>
    <w:r>
      <w:rPr>
        <w:b/>
        <w:noProof/>
        <w:color w:val="000000"/>
      </w:rPr>
      <w:t xml:space="preserve">      </w:t>
    </w:r>
    <w:r w:rsidRPr="00D5064E">
      <w:rPr>
        <w:b/>
        <w:noProof/>
        <w:color w:val="000000"/>
      </w:rPr>
      <w:drawing>
        <wp:inline distT="0" distB="0" distL="0" distR="0" wp14:anchorId="1031A4E6" wp14:editId="5B8FD283">
          <wp:extent cx="2527300" cy="671373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855" cy="692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350A9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b/>
        <w:color w:val="000000"/>
      </w:rPr>
    </w:pPr>
  </w:p>
  <w:p w14:paraId="621A2122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b/>
        <w:color w:val="000000"/>
      </w:rPr>
    </w:pPr>
  </w:p>
  <w:p w14:paraId="1F7608F8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b/>
        <w:color w:val="000000"/>
      </w:rPr>
    </w:pPr>
  </w:p>
  <w:p w14:paraId="0E42CFFD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b/>
        <w:color w:val="000000"/>
      </w:rPr>
    </w:pPr>
    <w:r>
      <w:rPr>
        <w:b/>
        <w:color w:val="000000"/>
      </w:rPr>
      <w:t>Mgr. Markéta Koubíková, advokátka</w:t>
    </w:r>
  </w:p>
  <w:p w14:paraId="3431D1BC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IČ: 03168930, Pplk. Sochora 1391/4, 170 00 Praha 7</w:t>
    </w:r>
  </w:p>
  <w:p w14:paraId="7647F54E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v seznamu advokátů vedeném ČAK zapsána pod ev. č. 15748</w:t>
    </w:r>
  </w:p>
  <w:p w14:paraId="419AB3A3" w14:textId="77777777" w:rsidR="004B77DA" w:rsidRDefault="004B77DA" w:rsidP="004B77DA">
    <w:pPr>
      <w:pBdr>
        <w:top w:val="nil"/>
        <w:left w:val="nil"/>
        <w:bottom w:val="single" w:sz="12" w:space="6" w:color="000000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ID datové schránky ug2kxab</w:t>
    </w:r>
  </w:p>
  <w:p w14:paraId="66EA4942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BE"/>
    <w:multiLevelType w:val="hybridMultilevel"/>
    <w:tmpl w:val="9C888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A2875"/>
    <w:multiLevelType w:val="hybridMultilevel"/>
    <w:tmpl w:val="824284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239E2"/>
    <w:multiLevelType w:val="hybridMultilevel"/>
    <w:tmpl w:val="A8705F6E"/>
    <w:lvl w:ilvl="0" w:tplc="D69822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1124D"/>
    <w:multiLevelType w:val="hybridMultilevel"/>
    <w:tmpl w:val="13BA3934"/>
    <w:lvl w:ilvl="0" w:tplc="A7645A48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32B5"/>
    <w:multiLevelType w:val="multilevel"/>
    <w:tmpl w:val="2DFEF8E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2665" w:hanging="226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8316100"/>
    <w:multiLevelType w:val="multilevel"/>
    <w:tmpl w:val="F59C0D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91E"/>
    <w:multiLevelType w:val="multilevel"/>
    <w:tmpl w:val="3BF4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882362"/>
    <w:multiLevelType w:val="multilevel"/>
    <w:tmpl w:val="51489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DD1596"/>
    <w:multiLevelType w:val="multilevel"/>
    <w:tmpl w:val="8F08980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2665" w:hanging="2268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2B11E0B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E06DD4"/>
    <w:multiLevelType w:val="hybridMultilevel"/>
    <w:tmpl w:val="42260AAA"/>
    <w:lvl w:ilvl="0" w:tplc="CC7AD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BE13C6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D6D75"/>
    <w:multiLevelType w:val="multilevel"/>
    <w:tmpl w:val="70143B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8C20B71"/>
    <w:multiLevelType w:val="hybridMultilevel"/>
    <w:tmpl w:val="732C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7BB"/>
    <w:multiLevelType w:val="multilevel"/>
    <w:tmpl w:val="0D3E73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EFE23B1"/>
    <w:multiLevelType w:val="hybridMultilevel"/>
    <w:tmpl w:val="3F08A384"/>
    <w:lvl w:ilvl="0" w:tplc="DF58E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15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5D"/>
    <w:rsid w:val="000066AC"/>
    <w:rsid w:val="00025BD0"/>
    <w:rsid w:val="00040D35"/>
    <w:rsid w:val="0004596F"/>
    <w:rsid w:val="00057221"/>
    <w:rsid w:val="00064CAB"/>
    <w:rsid w:val="00087C4B"/>
    <w:rsid w:val="00090117"/>
    <w:rsid w:val="000C5923"/>
    <w:rsid w:val="000E4E89"/>
    <w:rsid w:val="00107280"/>
    <w:rsid w:val="001335E3"/>
    <w:rsid w:val="001372D3"/>
    <w:rsid w:val="00157619"/>
    <w:rsid w:val="00157DF5"/>
    <w:rsid w:val="00167C61"/>
    <w:rsid w:val="001C5433"/>
    <w:rsid w:val="001F2D73"/>
    <w:rsid w:val="002053BF"/>
    <w:rsid w:val="002A001C"/>
    <w:rsid w:val="002C35BF"/>
    <w:rsid w:val="002E1CFC"/>
    <w:rsid w:val="002E593F"/>
    <w:rsid w:val="002F7397"/>
    <w:rsid w:val="00351097"/>
    <w:rsid w:val="00390628"/>
    <w:rsid w:val="0039088F"/>
    <w:rsid w:val="00392428"/>
    <w:rsid w:val="003D1D39"/>
    <w:rsid w:val="003D7BB3"/>
    <w:rsid w:val="003E5477"/>
    <w:rsid w:val="0041231D"/>
    <w:rsid w:val="00445430"/>
    <w:rsid w:val="004663D7"/>
    <w:rsid w:val="00481CED"/>
    <w:rsid w:val="004B77DA"/>
    <w:rsid w:val="004C01E8"/>
    <w:rsid w:val="004D6E86"/>
    <w:rsid w:val="004D79A5"/>
    <w:rsid w:val="004F0D37"/>
    <w:rsid w:val="004F371B"/>
    <w:rsid w:val="00536C0D"/>
    <w:rsid w:val="00596632"/>
    <w:rsid w:val="005A32F2"/>
    <w:rsid w:val="005C1CBE"/>
    <w:rsid w:val="0061734F"/>
    <w:rsid w:val="00632F26"/>
    <w:rsid w:val="00633966"/>
    <w:rsid w:val="00690330"/>
    <w:rsid w:val="006B2DD2"/>
    <w:rsid w:val="006E1764"/>
    <w:rsid w:val="00706C80"/>
    <w:rsid w:val="00722262"/>
    <w:rsid w:val="00765360"/>
    <w:rsid w:val="00765C1B"/>
    <w:rsid w:val="00774434"/>
    <w:rsid w:val="0078456D"/>
    <w:rsid w:val="00796786"/>
    <w:rsid w:val="007B0D93"/>
    <w:rsid w:val="007B7D0B"/>
    <w:rsid w:val="007C7143"/>
    <w:rsid w:val="00831A62"/>
    <w:rsid w:val="00832AEA"/>
    <w:rsid w:val="00873997"/>
    <w:rsid w:val="00882C21"/>
    <w:rsid w:val="0089404F"/>
    <w:rsid w:val="00916432"/>
    <w:rsid w:val="009477B3"/>
    <w:rsid w:val="0095439C"/>
    <w:rsid w:val="00981E39"/>
    <w:rsid w:val="009C4DFE"/>
    <w:rsid w:val="009D2E52"/>
    <w:rsid w:val="009D613F"/>
    <w:rsid w:val="00A06592"/>
    <w:rsid w:val="00A06921"/>
    <w:rsid w:val="00A1580F"/>
    <w:rsid w:val="00A839F9"/>
    <w:rsid w:val="00AC529A"/>
    <w:rsid w:val="00AD7CDF"/>
    <w:rsid w:val="00B40F18"/>
    <w:rsid w:val="00B4795D"/>
    <w:rsid w:val="00BA0F93"/>
    <w:rsid w:val="00BB01B0"/>
    <w:rsid w:val="00BD4673"/>
    <w:rsid w:val="00C13F2D"/>
    <w:rsid w:val="00C23561"/>
    <w:rsid w:val="00C23598"/>
    <w:rsid w:val="00C4057E"/>
    <w:rsid w:val="00C41EAC"/>
    <w:rsid w:val="00C6122D"/>
    <w:rsid w:val="00C67438"/>
    <w:rsid w:val="00C80C8B"/>
    <w:rsid w:val="00CB1CFF"/>
    <w:rsid w:val="00CD1888"/>
    <w:rsid w:val="00CD7BCE"/>
    <w:rsid w:val="00CE710F"/>
    <w:rsid w:val="00D21C96"/>
    <w:rsid w:val="00D5064E"/>
    <w:rsid w:val="00D678AB"/>
    <w:rsid w:val="00DC6697"/>
    <w:rsid w:val="00DD279D"/>
    <w:rsid w:val="00E16FC4"/>
    <w:rsid w:val="00E209A8"/>
    <w:rsid w:val="00E31B35"/>
    <w:rsid w:val="00E40EAE"/>
    <w:rsid w:val="00E529B7"/>
    <w:rsid w:val="00E92C6B"/>
    <w:rsid w:val="00EE509B"/>
    <w:rsid w:val="00EF2FC8"/>
    <w:rsid w:val="00F010F0"/>
    <w:rsid w:val="00F13E18"/>
    <w:rsid w:val="00F8230C"/>
    <w:rsid w:val="00F83BFE"/>
    <w:rsid w:val="00F97C71"/>
    <w:rsid w:val="00FB4B95"/>
    <w:rsid w:val="00FB57FA"/>
    <w:rsid w:val="00FC4B06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B8A"/>
  <w15:docId w15:val="{8C7A869B-791E-4999-B136-50F972B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cs-CZ" w:eastAsia="cs-CZ" w:bidi="ar-SA"/>
      </w:rPr>
    </w:rPrDefault>
    <w:pPrDefault>
      <w:pPr>
        <w:spacing w:after="120" w:line="33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B7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D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D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D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D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653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117"/>
  </w:style>
  <w:style w:type="paragraph" w:styleId="Zpat">
    <w:name w:val="footer"/>
    <w:basedOn w:val="Normln"/>
    <w:link w:val="ZpatChar"/>
    <w:uiPriority w:val="99"/>
    <w:unhideWhenUsed/>
    <w:rsid w:val="0009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117"/>
  </w:style>
  <w:style w:type="table" w:styleId="Mkatabulky">
    <w:name w:val="Table Grid"/>
    <w:basedOn w:val="Normlntabulka"/>
    <w:uiPriority w:val="39"/>
    <w:rsid w:val="009D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zka1">
    <w:name w:val="Odrazka 1"/>
    <w:basedOn w:val="Normln"/>
    <w:qFormat/>
    <w:rsid w:val="003E5477"/>
    <w:pPr>
      <w:numPr>
        <w:numId w:val="11"/>
      </w:numPr>
      <w:spacing w:before="60" w:after="60" w:line="276" w:lineRule="auto"/>
    </w:pPr>
    <w:rPr>
      <w:rFonts w:ascii="Calibri" w:eastAsia="Times New Roman" w:hAnsi="Calibri" w:cs="Times New Roman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3E5477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3E5477"/>
    <w:rPr>
      <w:rFonts w:ascii="Calibri" w:eastAsia="Times New Roman" w:hAnsi="Calibri" w:cs="Times New Roman"/>
      <w:sz w:val="22"/>
      <w:szCs w:val="24"/>
    </w:rPr>
  </w:style>
  <w:style w:type="paragraph" w:customStyle="1" w:styleId="Odrazka3">
    <w:name w:val="Odrazka 3"/>
    <w:basedOn w:val="Odrazka2"/>
    <w:rsid w:val="003E5477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E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1697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knoblochova</dc:creator>
  <cp:lastModifiedBy>Novák Zdeněk UCHP</cp:lastModifiedBy>
  <cp:revision>4</cp:revision>
  <dcterms:created xsi:type="dcterms:W3CDTF">2019-10-04T10:00:00Z</dcterms:created>
  <dcterms:modified xsi:type="dcterms:W3CDTF">2019-10-07T09:37:00Z</dcterms:modified>
</cp:coreProperties>
</file>