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9CAC0" w14:textId="6A54F5FA" w:rsidR="00833762" w:rsidRPr="00570F99" w:rsidRDefault="007F07DC" w:rsidP="00833762">
      <w:pPr>
        <w:jc w:val="center"/>
        <w:rPr>
          <w:rFonts w:ascii="UnitPro-Light" w:hAnsi="UnitPro-Light" w:cs="UnitPro-Light"/>
          <w:b/>
          <w:sz w:val="28"/>
          <w:szCs w:val="28"/>
        </w:rPr>
      </w:pPr>
      <w:r w:rsidRPr="00570F99">
        <w:rPr>
          <w:rFonts w:ascii="UnitPro-Light" w:hAnsi="UnitPro-Light" w:cs="UnitPro-Light"/>
          <w:b/>
          <w:sz w:val="28"/>
          <w:szCs w:val="28"/>
        </w:rPr>
        <w:t>Dodatek č. 6</w:t>
      </w:r>
    </w:p>
    <w:p w14:paraId="48C3EC4F" w14:textId="77777777" w:rsidR="00833762" w:rsidRPr="00570F99" w:rsidRDefault="00833762" w:rsidP="00833762">
      <w:pPr>
        <w:spacing w:after="0"/>
        <w:jc w:val="center"/>
        <w:rPr>
          <w:rFonts w:ascii="UnitPro-Light" w:hAnsi="UnitPro-Light" w:cs="UnitPro-Light"/>
          <w:b/>
          <w:sz w:val="24"/>
          <w:szCs w:val="24"/>
        </w:rPr>
      </w:pPr>
      <w:r w:rsidRPr="00570F99">
        <w:rPr>
          <w:rFonts w:ascii="UnitPro-Light" w:hAnsi="UnitPro-Light" w:cs="UnitPro-Light"/>
          <w:b/>
          <w:sz w:val="24"/>
          <w:szCs w:val="24"/>
        </w:rPr>
        <w:t>ke smlouvě č. ZAK 17-0089 ze dne 5. 9. 2017</w:t>
      </w:r>
    </w:p>
    <w:p w14:paraId="1F4D7442" w14:textId="77777777" w:rsidR="00833762" w:rsidRPr="00570F99" w:rsidRDefault="00833762" w:rsidP="00833762">
      <w:pPr>
        <w:jc w:val="center"/>
        <w:rPr>
          <w:rFonts w:ascii="UnitPro-Light" w:hAnsi="UnitPro-Light" w:cs="UnitPro-Light"/>
          <w:b/>
          <w:sz w:val="24"/>
          <w:szCs w:val="24"/>
        </w:rPr>
      </w:pPr>
    </w:p>
    <w:p w14:paraId="7971CE7B" w14:textId="77777777" w:rsidR="00833762" w:rsidRPr="00570F99" w:rsidRDefault="00833762" w:rsidP="00833762">
      <w:pPr>
        <w:pStyle w:val="Nadpis1"/>
        <w:tabs>
          <w:tab w:val="num" w:pos="0"/>
        </w:tabs>
        <w:suppressAutoHyphens/>
        <w:spacing w:before="0" w:after="120" w:line="276" w:lineRule="auto"/>
        <w:ind w:left="284" w:hanging="284"/>
        <w:jc w:val="both"/>
        <w:rPr>
          <w:rFonts w:ascii="UnitPro-Light" w:hAnsi="UnitPro-Light" w:cs="UnitPro-Light"/>
          <w:sz w:val="22"/>
          <w:szCs w:val="22"/>
        </w:rPr>
      </w:pPr>
      <w:r w:rsidRPr="00570F99">
        <w:rPr>
          <w:rFonts w:ascii="UnitPro-Light" w:hAnsi="UnitPro-Light" w:cs="UnitPro-Light"/>
          <w:sz w:val="22"/>
          <w:szCs w:val="22"/>
        </w:rPr>
        <w:t>Institut plánování a rozvoje hlavního města Prahy, příspěvková organizace</w:t>
      </w:r>
    </w:p>
    <w:p w14:paraId="78D9A3BE" w14:textId="77777777" w:rsidR="00E31C58" w:rsidRDefault="00124C14" w:rsidP="00E31C58">
      <w:pPr>
        <w:spacing w:after="0"/>
        <w:ind w:firstLine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</w:rPr>
        <w:t xml:space="preserve">zastoupený: </w:t>
      </w:r>
      <w:r w:rsidR="00E31C58" w:rsidRPr="00833762">
        <w:rPr>
          <w:rFonts w:ascii="UnitPro" w:hAnsi="UnitPro" w:cs="UnitPro"/>
          <w:bCs/>
        </w:rPr>
        <w:t>Mgr. Adamem Švejdou, ředitelem Sekce vnějších vztahů</w:t>
      </w:r>
      <w:r w:rsidR="00E31C58" w:rsidRPr="00570F99">
        <w:rPr>
          <w:rFonts w:ascii="UnitPro-Light" w:hAnsi="UnitPro-Light" w:cs="UnitPro-Light"/>
          <w:bCs/>
        </w:rPr>
        <w:t xml:space="preserve"> </w:t>
      </w:r>
    </w:p>
    <w:p w14:paraId="30EE6F2E" w14:textId="202CFC59" w:rsidR="00833762" w:rsidRPr="00570F99" w:rsidRDefault="00833762" w:rsidP="00E31C58">
      <w:pPr>
        <w:spacing w:after="0"/>
        <w:ind w:firstLine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>sídlo: Vyšehradská 57/2077, 128 00 Praha 2 – Nové Město</w:t>
      </w:r>
    </w:p>
    <w:p w14:paraId="462C185E" w14:textId="77777777" w:rsidR="00833762" w:rsidRPr="00570F99" w:rsidRDefault="00833762" w:rsidP="00833762">
      <w:pPr>
        <w:spacing w:after="0"/>
        <w:ind w:left="284"/>
        <w:jc w:val="both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 xml:space="preserve">zapsaný: v obchodním rejstříku vedeném Městským soudem v Praze, oddíl </w:t>
      </w:r>
      <w:proofErr w:type="spellStart"/>
      <w:r w:rsidRPr="00570F99">
        <w:rPr>
          <w:rFonts w:ascii="UnitPro-Light" w:hAnsi="UnitPro-Light" w:cs="UnitPro-Light"/>
          <w:bCs/>
        </w:rPr>
        <w:t>Pr</w:t>
      </w:r>
      <w:proofErr w:type="spellEnd"/>
      <w:r w:rsidRPr="00570F99">
        <w:rPr>
          <w:rFonts w:ascii="UnitPro-Light" w:hAnsi="UnitPro-Light" w:cs="UnitPro-Light"/>
          <w:bCs/>
        </w:rPr>
        <w:t>, vložka 63</w:t>
      </w:r>
    </w:p>
    <w:p w14:paraId="24AFB421" w14:textId="77777777" w:rsidR="00833762" w:rsidRPr="00570F99" w:rsidRDefault="00833762" w:rsidP="00833762">
      <w:pPr>
        <w:spacing w:after="0"/>
        <w:ind w:left="284"/>
        <w:jc w:val="both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>IČO: 70883858</w:t>
      </w:r>
    </w:p>
    <w:p w14:paraId="039E11A3" w14:textId="77777777" w:rsidR="00833762" w:rsidRPr="00570F99" w:rsidRDefault="00833762" w:rsidP="00833762">
      <w:pPr>
        <w:spacing w:after="0"/>
        <w:ind w:left="284"/>
        <w:jc w:val="both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>DIČ: CZ70883858</w:t>
      </w:r>
    </w:p>
    <w:p w14:paraId="62173DCE" w14:textId="6C1B8BEE" w:rsidR="00833762" w:rsidRPr="00570F99" w:rsidRDefault="00833762" w:rsidP="00833762">
      <w:pPr>
        <w:spacing w:after="0"/>
        <w:ind w:left="284"/>
        <w:jc w:val="both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 xml:space="preserve">bankovní spojení: </w:t>
      </w:r>
      <w:proofErr w:type="spellStart"/>
      <w:r w:rsidR="004A0BD4">
        <w:rPr>
          <w:rFonts w:ascii="UnitPro-Light" w:hAnsi="UnitPro-Light" w:cs="UnitPro-Light"/>
          <w:bCs/>
        </w:rPr>
        <w:t>xxxxx</w:t>
      </w:r>
      <w:proofErr w:type="spellEnd"/>
    </w:p>
    <w:p w14:paraId="30AAEC64" w14:textId="490DF731" w:rsidR="00833762" w:rsidRPr="00570F99" w:rsidRDefault="00833762" w:rsidP="00833762">
      <w:pPr>
        <w:pStyle w:val="Zkladntext"/>
        <w:ind w:left="284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  <w:bCs/>
        </w:rPr>
        <w:t xml:space="preserve">číslo účtu: </w:t>
      </w:r>
      <w:proofErr w:type="spellStart"/>
      <w:r w:rsidR="004A0BD4">
        <w:rPr>
          <w:rFonts w:ascii="UnitPro-Light" w:hAnsi="UnitPro-Light" w:cs="UnitPro-Light"/>
          <w:bCs/>
        </w:rPr>
        <w:t>xxxxx</w:t>
      </w:r>
      <w:proofErr w:type="spellEnd"/>
    </w:p>
    <w:p w14:paraId="283B8907" w14:textId="77777777" w:rsidR="00833762" w:rsidRPr="00570F99" w:rsidRDefault="00833762" w:rsidP="00833762">
      <w:pPr>
        <w:pStyle w:val="Zkladntext"/>
        <w:ind w:left="284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(dále jen „</w:t>
      </w:r>
      <w:r w:rsidRPr="00570F99">
        <w:rPr>
          <w:rFonts w:ascii="UnitPro-Light" w:hAnsi="UnitPro-Light" w:cs="UnitPro-Light"/>
          <w:b/>
        </w:rPr>
        <w:t>nájemce</w:t>
      </w:r>
      <w:r w:rsidRPr="00570F99">
        <w:rPr>
          <w:rFonts w:ascii="UnitPro-Light" w:hAnsi="UnitPro-Light" w:cs="UnitPro-Light"/>
        </w:rPr>
        <w:t>“)</w:t>
      </w:r>
    </w:p>
    <w:p w14:paraId="0F049D13" w14:textId="77777777" w:rsidR="00833762" w:rsidRPr="00570F99" w:rsidRDefault="00833762" w:rsidP="00833762">
      <w:pPr>
        <w:tabs>
          <w:tab w:val="left" w:pos="5812"/>
        </w:tabs>
        <w:spacing w:before="120" w:after="120"/>
        <w:jc w:val="both"/>
        <w:rPr>
          <w:rFonts w:ascii="UnitPro-Light" w:hAnsi="UnitPro-Light" w:cs="UnitPro-Light"/>
          <w:b/>
          <w:bCs/>
        </w:rPr>
      </w:pPr>
      <w:r w:rsidRPr="00570F99">
        <w:rPr>
          <w:rFonts w:ascii="UnitPro-Light" w:hAnsi="UnitPro-Light" w:cs="UnitPro-Light"/>
          <w:b/>
          <w:bCs/>
        </w:rPr>
        <w:t>a</w:t>
      </w:r>
    </w:p>
    <w:p w14:paraId="3F0A98FA" w14:textId="77777777" w:rsidR="00833762" w:rsidRPr="00570F99" w:rsidRDefault="00833762" w:rsidP="00833762">
      <w:pPr>
        <w:pStyle w:val="Nadpis1"/>
        <w:tabs>
          <w:tab w:val="num" w:pos="0"/>
        </w:tabs>
        <w:suppressAutoHyphens/>
        <w:spacing w:before="0" w:after="120" w:line="276" w:lineRule="auto"/>
        <w:ind w:left="284" w:hanging="284"/>
        <w:jc w:val="both"/>
        <w:rPr>
          <w:rFonts w:ascii="UnitPro-Light" w:hAnsi="UnitPro-Light" w:cs="UnitPro-Light"/>
          <w:sz w:val="22"/>
          <w:szCs w:val="22"/>
        </w:rPr>
      </w:pPr>
      <w:proofErr w:type="spellStart"/>
      <w:r w:rsidRPr="00570F99">
        <w:rPr>
          <w:rFonts w:ascii="UnitPro-Light" w:hAnsi="UnitPro-Light" w:cs="UnitPro-Light"/>
          <w:sz w:val="22"/>
          <w:szCs w:val="22"/>
        </w:rPr>
        <w:t>PageFive</w:t>
      </w:r>
      <w:proofErr w:type="spellEnd"/>
      <w:r w:rsidRPr="00570F99">
        <w:rPr>
          <w:rFonts w:ascii="UnitPro-Light" w:hAnsi="UnitPro-Light" w:cs="UnitPro-Light"/>
          <w:sz w:val="22"/>
          <w:szCs w:val="22"/>
        </w:rPr>
        <w:t xml:space="preserve"> s. r. o.</w:t>
      </w:r>
    </w:p>
    <w:p w14:paraId="149B75B5" w14:textId="77777777" w:rsidR="00833762" w:rsidRPr="00570F99" w:rsidRDefault="00833762" w:rsidP="00833762">
      <w:pPr>
        <w:suppressAutoHyphens/>
        <w:spacing w:after="0"/>
        <w:ind w:left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>zastoupený: Štěpánem Soukupem, jednatelem</w:t>
      </w:r>
    </w:p>
    <w:p w14:paraId="2AFF4DCA" w14:textId="77777777" w:rsidR="00833762" w:rsidRPr="00570F99" w:rsidRDefault="00833762" w:rsidP="00833762">
      <w:pPr>
        <w:suppressAutoHyphens/>
        <w:spacing w:after="0"/>
        <w:ind w:left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 xml:space="preserve">sídlo: Veverkova 1410/8, 170 00 Praha 7                        </w:t>
      </w:r>
    </w:p>
    <w:p w14:paraId="1F57F83B" w14:textId="77777777" w:rsidR="00833762" w:rsidRPr="00570F99" w:rsidRDefault="00833762" w:rsidP="00833762">
      <w:pPr>
        <w:suppressAutoHyphens/>
        <w:spacing w:after="0"/>
        <w:ind w:left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>zapsaný: v obchodním rejstříku vedeném Městským soudem v Praze, oddíl C, vložka 27657</w:t>
      </w:r>
    </w:p>
    <w:p w14:paraId="0CDAAB9B" w14:textId="77777777" w:rsidR="00833762" w:rsidRPr="00570F99" w:rsidRDefault="00833762" w:rsidP="00833762">
      <w:pPr>
        <w:suppressAutoHyphens/>
        <w:spacing w:after="0"/>
        <w:ind w:left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 xml:space="preserve">IČO:    06107869                   </w:t>
      </w:r>
    </w:p>
    <w:p w14:paraId="3BF60751" w14:textId="0B9B4C1E" w:rsidR="00833762" w:rsidRPr="00570F99" w:rsidRDefault="00833762" w:rsidP="00833762">
      <w:pPr>
        <w:suppressAutoHyphens/>
        <w:spacing w:after="0"/>
        <w:ind w:left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 xml:space="preserve">bankovní spojení:    </w:t>
      </w:r>
      <w:proofErr w:type="spellStart"/>
      <w:r w:rsidR="004A0BD4">
        <w:rPr>
          <w:rFonts w:ascii="UnitPro-Light" w:hAnsi="UnitPro-Light" w:cs="UnitPro-Light"/>
          <w:bCs/>
        </w:rPr>
        <w:t>xxxxx</w:t>
      </w:r>
      <w:proofErr w:type="spellEnd"/>
    </w:p>
    <w:p w14:paraId="68837621" w14:textId="00BCFC46" w:rsidR="00833762" w:rsidRPr="00570F99" w:rsidRDefault="00833762" w:rsidP="00833762">
      <w:pPr>
        <w:suppressAutoHyphens/>
        <w:spacing w:after="0"/>
        <w:ind w:left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>číslo účtu:</w:t>
      </w:r>
      <w:r w:rsidR="004A0BD4" w:rsidRPr="004A0BD4">
        <w:rPr>
          <w:rFonts w:ascii="UnitPro-Light" w:hAnsi="UnitPro-Light" w:cs="UnitPro-Light"/>
          <w:bCs/>
        </w:rPr>
        <w:t xml:space="preserve"> </w:t>
      </w:r>
      <w:r w:rsidR="004A0BD4">
        <w:rPr>
          <w:rFonts w:ascii="UnitPro-Light" w:hAnsi="UnitPro-Light" w:cs="UnitPro-Light"/>
          <w:bCs/>
        </w:rPr>
        <w:t>xxxxx</w:t>
      </w:r>
    </w:p>
    <w:p w14:paraId="1657C9AD" w14:textId="77777777" w:rsidR="00833762" w:rsidRPr="00570F99" w:rsidRDefault="00833762" w:rsidP="00833762">
      <w:pPr>
        <w:suppressAutoHyphens/>
        <w:spacing w:after="0"/>
        <w:ind w:left="284"/>
        <w:rPr>
          <w:rFonts w:ascii="UnitPro-Light" w:hAnsi="UnitPro-Light" w:cs="UnitPro-Light"/>
          <w:bCs/>
        </w:rPr>
      </w:pPr>
      <w:r w:rsidRPr="00570F99">
        <w:rPr>
          <w:rFonts w:ascii="UnitPro-Light" w:hAnsi="UnitPro-Light" w:cs="UnitPro-Light"/>
          <w:bCs/>
        </w:rPr>
        <w:t xml:space="preserve">zhotovitel </w:t>
      </w:r>
      <w:r w:rsidRPr="00570F99">
        <w:rPr>
          <w:rFonts w:ascii="UnitPro-Light" w:hAnsi="UnitPro-Light" w:cs="UnitPro-Light"/>
          <w:b/>
          <w:bCs/>
        </w:rPr>
        <w:t>není</w:t>
      </w:r>
      <w:r w:rsidRPr="00570F99">
        <w:rPr>
          <w:rFonts w:ascii="UnitPro-Light" w:hAnsi="UnitPro-Light" w:cs="UnitPro-Light"/>
          <w:bCs/>
        </w:rPr>
        <w:t xml:space="preserve"> plátcem DPH</w:t>
      </w:r>
    </w:p>
    <w:p w14:paraId="40E0A4B9" w14:textId="77777777" w:rsidR="00833762" w:rsidRPr="00570F99" w:rsidRDefault="00833762" w:rsidP="00833762">
      <w:pPr>
        <w:pStyle w:val="Zkladntext"/>
        <w:ind w:left="284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 xml:space="preserve"> </w:t>
      </w:r>
    </w:p>
    <w:p w14:paraId="051C33DD" w14:textId="77777777" w:rsidR="00833762" w:rsidRPr="00570F99" w:rsidRDefault="00833762" w:rsidP="00833762">
      <w:pPr>
        <w:pStyle w:val="Zkladntext"/>
        <w:ind w:left="284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(dále jen „</w:t>
      </w:r>
      <w:r w:rsidRPr="00570F99">
        <w:rPr>
          <w:rFonts w:ascii="UnitPro-Light" w:hAnsi="UnitPro-Light" w:cs="UnitPro-Light"/>
          <w:b/>
        </w:rPr>
        <w:t>podnájemce</w:t>
      </w:r>
      <w:r w:rsidRPr="00570F99">
        <w:rPr>
          <w:rFonts w:ascii="UnitPro-Light" w:hAnsi="UnitPro-Light" w:cs="UnitPro-Light"/>
        </w:rPr>
        <w:t>“)</w:t>
      </w:r>
    </w:p>
    <w:p w14:paraId="25FE52EB" w14:textId="77777777" w:rsidR="00833762" w:rsidRPr="00570F99" w:rsidRDefault="00833762" w:rsidP="00833762">
      <w:pPr>
        <w:spacing w:after="0"/>
        <w:rPr>
          <w:rFonts w:ascii="UnitPro-Light" w:hAnsi="UnitPro-Light" w:cs="UnitPro-Light"/>
        </w:rPr>
      </w:pPr>
    </w:p>
    <w:p w14:paraId="28BFCC9A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</w:rPr>
      </w:pPr>
    </w:p>
    <w:p w14:paraId="6118F182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 xml:space="preserve">Shora uvedení účastníci, dále označovaní jednotlivě jako „nájemce“ a „podnájemce“, společně </w:t>
      </w:r>
      <w:r w:rsidRPr="00570F99">
        <w:rPr>
          <w:rFonts w:ascii="UnitPro-Light" w:hAnsi="UnitPro-Light" w:cs="UnitPro-Light"/>
        </w:rPr>
        <w:br/>
        <w:t>pak jako „smluvní strany“ uzavřeli níže uvedeného dne, měsíce a roku tento:</w:t>
      </w:r>
    </w:p>
    <w:p w14:paraId="14F5DF99" w14:textId="77777777" w:rsidR="00833762" w:rsidRPr="00570F99" w:rsidRDefault="00833762" w:rsidP="00833762">
      <w:pPr>
        <w:spacing w:after="0"/>
        <w:rPr>
          <w:rFonts w:ascii="UnitPro-Light" w:hAnsi="UnitPro-Light" w:cs="UnitPro-Light"/>
        </w:rPr>
      </w:pPr>
    </w:p>
    <w:p w14:paraId="378F9C1E" w14:textId="77777777" w:rsidR="00833762" w:rsidRPr="00570F99" w:rsidRDefault="00833762" w:rsidP="00833762">
      <w:pPr>
        <w:spacing w:after="0"/>
        <w:jc w:val="center"/>
        <w:rPr>
          <w:rFonts w:ascii="UnitPro-Light" w:hAnsi="UnitPro-Light" w:cs="UnitPro-Light"/>
          <w:b/>
        </w:rPr>
      </w:pPr>
    </w:p>
    <w:p w14:paraId="1B64F2D5" w14:textId="1E02A3E2" w:rsidR="00833762" w:rsidRPr="00570F99" w:rsidRDefault="00833762" w:rsidP="00833762">
      <w:pPr>
        <w:spacing w:after="0"/>
        <w:jc w:val="center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  <w:b/>
        </w:rPr>
        <w:t xml:space="preserve">Dodatek č. </w:t>
      </w:r>
      <w:r w:rsidR="0050446E" w:rsidRPr="00570F99">
        <w:rPr>
          <w:rFonts w:ascii="UnitPro-Light" w:hAnsi="UnitPro-Light" w:cs="UnitPro-Light"/>
          <w:b/>
        </w:rPr>
        <w:t>6</w:t>
      </w:r>
      <w:r w:rsidRPr="00570F99">
        <w:rPr>
          <w:rFonts w:ascii="UnitPro-Light" w:hAnsi="UnitPro-Light" w:cs="UnitPro-Light"/>
          <w:b/>
        </w:rPr>
        <w:t xml:space="preserve"> ke smlouvě o podnájmu prostor sloužících k podnikání a o nájmu movitých věcí </w:t>
      </w:r>
      <w:r w:rsidRPr="00570F99">
        <w:rPr>
          <w:rFonts w:ascii="UnitPro-Light" w:hAnsi="UnitPro-Light" w:cs="UnitPro-Light"/>
          <w:b/>
        </w:rPr>
        <w:br/>
        <w:t xml:space="preserve">č. ZAK 17-0089 ze dne 5. 9. 2017 </w:t>
      </w:r>
      <w:r w:rsidRPr="00570F99">
        <w:rPr>
          <w:rFonts w:ascii="UnitPro-Light" w:hAnsi="UnitPro-Light" w:cs="UnitPro-Light"/>
        </w:rPr>
        <w:t xml:space="preserve">(dále jen „Dodatek č. </w:t>
      </w:r>
      <w:r w:rsidR="0038576D">
        <w:rPr>
          <w:rFonts w:ascii="UnitPro-Light" w:hAnsi="UnitPro-Light" w:cs="UnitPro-Light"/>
        </w:rPr>
        <w:t>6</w:t>
      </w:r>
      <w:bookmarkStart w:id="0" w:name="_GoBack"/>
      <w:bookmarkEnd w:id="0"/>
      <w:r w:rsidRPr="00570F99">
        <w:rPr>
          <w:rFonts w:ascii="UnitPro-Light" w:hAnsi="UnitPro-Light" w:cs="UnitPro-Light"/>
        </w:rPr>
        <w:t>“)</w:t>
      </w:r>
    </w:p>
    <w:p w14:paraId="0AC4973F" w14:textId="77777777" w:rsidR="00833762" w:rsidRPr="00570F99" w:rsidRDefault="00833762" w:rsidP="00833762">
      <w:pPr>
        <w:spacing w:after="0"/>
        <w:jc w:val="center"/>
        <w:rPr>
          <w:rFonts w:ascii="UnitPro-Light" w:hAnsi="UnitPro-Light" w:cs="UnitPro-Light"/>
          <w:b/>
        </w:rPr>
      </w:pPr>
    </w:p>
    <w:p w14:paraId="32EAF267" w14:textId="77777777" w:rsidR="00833762" w:rsidRPr="00570F99" w:rsidRDefault="00833762" w:rsidP="00833762">
      <w:pPr>
        <w:spacing w:after="120"/>
        <w:jc w:val="center"/>
        <w:rPr>
          <w:rFonts w:ascii="UnitPro-Light" w:hAnsi="UnitPro-Light" w:cs="UnitPro-Light"/>
          <w:b/>
        </w:rPr>
      </w:pPr>
      <w:r w:rsidRPr="00570F99">
        <w:rPr>
          <w:rFonts w:ascii="UnitPro-Light" w:hAnsi="UnitPro-Light" w:cs="UnitPro-Light"/>
          <w:b/>
        </w:rPr>
        <w:t>Čl. I</w:t>
      </w:r>
    </w:p>
    <w:p w14:paraId="7A621AD4" w14:textId="6CC0AE04" w:rsidR="00833762" w:rsidRPr="00570F99" w:rsidRDefault="00833762" w:rsidP="00833762">
      <w:pPr>
        <w:pStyle w:val="Odstavecseseznamem"/>
        <w:spacing w:after="0"/>
        <w:ind w:left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 xml:space="preserve">Tento dodatek č. </w:t>
      </w:r>
      <w:r w:rsidR="0050446E" w:rsidRPr="00570F99">
        <w:rPr>
          <w:rFonts w:ascii="UnitPro-Light" w:hAnsi="UnitPro-Light" w:cs="UnitPro-Light"/>
        </w:rPr>
        <w:t>6</w:t>
      </w:r>
      <w:r w:rsidRPr="00570F99">
        <w:rPr>
          <w:rFonts w:ascii="UnitPro-Light" w:hAnsi="UnitPro-Light" w:cs="UnitPro-Light"/>
        </w:rPr>
        <w:t xml:space="preserve"> ke smlouvě o podnájmu prostor sloužících k podnikání a o nájmu movitých věcí </w:t>
      </w:r>
      <w:r w:rsidRPr="00570F99">
        <w:rPr>
          <w:rFonts w:ascii="UnitPro-Light" w:hAnsi="UnitPro-Light" w:cs="UnitPro-Light"/>
        </w:rPr>
        <w:br/>
        <w:t xml:space="preserve">č. ZAK 17-0089 s názvem „Podnájem knihkupectví s kavárnou v objektu Centra architektury </w:t>
      </w:r>
      <w:r w:rsidRPr="00570F99">
        <w:rPr>
          <w:rFonts w:ascii="UnitPro-Light" w:hAnsi="UnitPro-Light" w:cs="UnitPro-Light"/>
        </w:rPr>
        <w:br/>
        <w:t xml:space="preserve">a městského plánování CAMP“ (dále jen „Smlouva“) </w:t>
      </w:r>
      <w:r w:rsidR="0050446E" w:rsidRPr="00570F99">
        <w:rPr>
          <w:rFonts w:ascii="UnitPro-Light" w:hAnsi="UnitPro-Light" w:cs="UnitPro-Light"/>
        </w:rPr>
        <w:t>uzavírají smluvní strany z důvodu prodloužení účinnosti smlouvy.</w:t>
      </w:r>
    </w:p>
    <w:p w14:paraId="131645D1" w14:textId="77777777" w:rsidR="0050446E" w:rsidRPr="00570F99" w:rsidRDefault="0050446E" w:rsidP="00833762">
      <w:pPr>
        <w:pStyle w:val="Odstavecseseznamem"/>
        <w:spacing w:after="0"/>
        <w:ind w:left="0"/>
        <w:jc w:val="both"/>
        <w:rPr>
          <w:rFonts w:ascii="UnitPro-Light" w:hAnsi="UnitPro-Light" w:cs="UnitPro-Light"/>
        </w:rPr>
      </w:pPr>
    </w:p>
    <w:p w14:paraId="1FB412DC" w14:textId="5A4438C5" w:rsidR="0050446E" w:rsidRPr="00570F99" w:rsidRDefault="0050446E" w:rsidP="0050446E">
      <w:pPr>
        <w:spacing w:after="120"/>
        <w:jc w:val="center"/>
        <w:rPr>
          <w:rFonts w:ascii="UnitPro-Light" w:hAnsi="UnitPro-Light" w:cs="UnitPro-Light"/>
          <w:b/>
        </w:rPr>
      </w:pPr>
      <w:r w:rsidRPr="00570F99">
        <w:rPr>
          <w:rFonts w:ascii="UnitPro-Light" w:hAnsi="UnitPro-Light" w:cs="UnitPro-Light"/>
          <w:b/>
        </w:rPr>
        <w:lastRenderedPageBreak/>
        <w:t>Čl. II</w:t>
      </w:r>
    </w:p>
    <w:p w14:paraId="1E51B121" w14:textId="787905C1" w:rsidR="0050446E" w:rsidRPr="00570F99" w:rsidRDefault="0050446E" w:rsidP="0050446E">
      <w:pPr>
        <w:spacing w:after="12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 xml:space="preserve">Smluvní strany se dohodly, že čl. III věta první smlouvy s účinností tohoto Dodatku č. </w:t>
      </w:r>
      <w:r w:rsidR="00312A7B" w:rsidRPr="00570F99">
        <w:rPr>
          <w:rFonts w:ascii="UnitPro-Light" w:hAnsi="UnitPro-Light" w:cs="UnitPro-Light"/>
        </w:rPr>
        <w:t>6</w:t>
      </w:r>
      <w:r w:rsidRPr="00570F99">
        <w:rPr>
          <w:rFonts w:ascii="UnitPro-Light" w:hAnsi="UnitPro-Light" w:cs="UnitPro-Light"/>
        </w:rPr>
        <w:t xml:space="preserve"> </w:t>
      </w:r>
      <w:r w:rsidR="00124C14" w:rsidRPr="00570F99">
        <w:rPr>
          <w:rFonts w:ascii="UnitPro-Light" w:hAnsi="UnitPro-Light" w:cs="UnitPro-Light"/>
        </w:rPr>
        <w:t>zní</w:t>
      </w:r>
      <w:r w:rsidRPr="00570F99">
        <w:rPr>
          <w:rFonts w:ascii="UnitPro-Light" w:hAnsi="UnitPro-Light" w:cs="UnitPro-Light"/>
        </w:rPr>
        <w:t>:</w:t>
      </w:r>
    </w:p>
    <w:p w14:paraId="3F05111C" w14:textId="55DEA2A4" w:rsidR="0050446E" w:rsidRPr="00570F99" w:rsidRDefault="0050446E" w:rsidP="0050446E">
      <w:pPr>
        <w:spacing w:after="12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„Tato smlouva se uzavírá na dobu určitou</w:t>
      </w:r>
      <w:r w:rsidR="00124C14" w:rsidRPr="00570F99">
        <w:rPr>
          <w:rFonts w:ascii="UnitPro-Light" w:hAnsi="UnitPro-Light" w:cs="UnitPro-Light"/>
        </w:rPr>
        <w:t>,</w:t>
      </w:r>
      <w:r w:rsidRPr="00570F99">
        <w:rPr>
          <w:rFonts w:ascii="UnitPro-Light" w:hAnsi="UnitPro-Light" w:cs="UnitPro-Light"/>
        </w:rPr>
        <w:t xml:space="preserve"> a to ode dne 1. 9. 2017 do 31. 8. 2020.“.</w:t>
      </w:r>
    </w:p>
    <w:p w14:paraId="02BF3207" w14:textId="77777777" w:rsidR="0050446E" w:rsidRPr="00570F99" w:rsidRDefault="0050446E" w:rsidP="00833762">
      <w:pPr>
        <w:spacing w:after="120"/>
        <w:jc w:val="center"/>
        <w:rPr>
          <w:rFonts w:ascii="UnitPro-Light" w:hAnsi="UnitPro-Light" w:cs="UnitPro-Light"/>
          <w:b/>
        </w:rPr>
      </w:pPr>
    </w:p>
    <w:p w14:paraId="0759AD57" w14:textId="0642B5E9" w:rsidR="00833762" w:rsidRPr="00570F99" w:rsidRDefault="00833762" w:rsidP="00833762">
      <w:pPr>
        <w:spacing w:after="120"/>
        <w:jc w:val="center"/>
        <w:rPr>
          <w:rFonts w:ascii="UnitPro-Light" w:hAnsi="UnitPro-Light" w:cs="UnitPro-Light"/>
          <w:b/>
        </w:rPr>
      </w:pPr>
      <w:r w:rsidRPr="00570F99">
        <w:rPr>
          <w:rFonts w:ascii="UnitPro-Light" w:hAnsi="UnitPro-Light" w:cs="UnitPro-Light"/>
          <w:b/>
        </w:rPr>
        <w:t>Čl. II</w:t>
      </w:r>
      <w:r w:rsidR="0050446E" w:rsidRPr="00570F99">
        <w:rPr>
          <w:rFonts w:ascii="UnitPro-Light" w:hAnsi="UnitPro-Light" w:cs="UnitPro-Light"/>
          <w:b/>
        </w:rPr>
        <w:t>I</w:t>
      </w:r>
    </w:p>
    <w:p w14:paraId="6771986E" w14:textId="77777777" w:rsidR="00757780" w:rsidRPr="00570F99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Ostatní ujednání smlouvy jsou tímto dodatkem nedotčena.</w:t>
      </w:r>
    </w:p>
    <w:p w14:paraId="0BF19479" w14:textId="77777777" w:rsidR="00757780" w:rsidRPr="00570F99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 xml:space="preserve">Tento dodatek se vyhotovuje ve dvou stejnopisech, z nichž každý má platnost originálu, </w:t>
      </w:r>
      <w:r w:rsidRPr="00570F99">
        <w:rPr>
          <w:rFonts w:ascii="UnitPro-Light" w:hAnsi="UnitPro-Light" w:cs="UnitPro-Light"/>
        </w:rPr>
        <w:br/>
        <w:t>přičemž každá ze smluvních stran obdrží po jednom.</w:t>
      </w:r>
    </w:p>
    <w:p w14:paraId="4DD997A2" w14:textId="77777777" w:rsidR="00757780" w:rsidRPr="00570F99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Dodatek se řídí právním režimem smlouvy a tvoří její nedílnou součást.</w:t>
      </w:r>
    </w:p>
    <w:p w14:paraId="2F9B0C1A" w14:textId="77777777" w:rsidR="00757780" w:rsidRPr="00570F99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Smluvní strany prohlašují, že osoby podepisující tento dodatek jsou k tomuto úkonu oprávněny.</w:t>
      </w:r>
    </w:p>
    <w:p w14:paraId="6A2C0AA6" w14:textId="77777777" w:rsidR="00757780" w:rsidRPr="00570F99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 xml:space="preserve">Smluvní strany shodně prohlašují, že dodatek uzavírají ze svobodné vůle, nikoliv v tísni </w:t>
      </w:r>
      <w:r w:rsidRPr="00570F99">
        <w:rPr>
          <w:rFonts w:ascii="UnitPro-Light" w:hAnsi="UnitPro-Light" w:cs="UnitPro-Light"/>
        </w:rPr>
        <w:br/>
        <w:t>a jsou s jeho obsahem seznámeny a srozuměny.</w:t>
      </w:r>
    </w:p>
    <w:p w14:paraId="36A16DE7" w14:textId="77777777" w:rsidR="00757780" w:rsidRPr="00570F99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Objednatel informuje dodavatele o splnění této povinnosti.</w:t>
      </w:r>
    </w:p>
    <w:p w14:paraId="6A020A76" w14:textId="77777777" w:rsidR="00757780" w:rsidRPr="00570F99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 xml:space="preserve">Smluvní strany dále prohlašují, že  skutečnosti uvedené v tomto dodatku nepovažují za obchodní tajemství ve smyslu ustanovení § 504 občanského zákoníku </w:t>
      </w:r>
      <w:r w:rsidRPr="00570F99">
        <w:rPr>
          <w:rFonts w:ascii="UnitPro-Light" w:hAnsi="UnitPro-Light" w:cs="UnitPro-Light"/>
        </w:rPr>
        <w:br/>
        <w:t>a udělují svolení k jejich užití a zveřejnění bez stanovení jakýchkoliv dalších podmínek.</w:t>
      </w:r>
    </w:p>
    <w:p w14:paraId="0AB20ED8" w14:textId="33763061" w:rsidR="00833762" w:rsidRPr="00570F99" w:rsidRDefault="00757780" w:rsidP="00757780">
      <w:pPr>
        <w:pStyle w:val="Odstavecseseznamem"/>
        <w:numPr>
          <w:ilvl w:val="0"/>
          <w:numId w:val="28"/>
        </w:numPr>
        <w:spacing w:after="0"/>
        <w:ind w:left="0" w:firstLine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Dodatek nabývá účinnosti dnem jeho zveřejnění v registru smluv.</w:t>
      </w:r>
    </w:p>
    <w:p w14:paraId="6BF028EB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  <w:b/>
          <w:highlight w:val="yellow"/>
        </w:rPr>
      </w:pPr>
    </w:p>
    <w:p w14:paraId="4B2B82D3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  <w:b/>
        </w:rPr>
      </w:pPr>
    </w:p>
    <w:p w14:paraId="5F46C7EC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V Praze dne: …………..</w:t>
      </w:r>
      <w:r w:rsidRPr="00570F99">
        <w:rPr>
          <w:rFonts w:ascii="UnitPro-Light" w:hAnsi="UnitPro-Light" w:cs="UnitPro-Light"/>
        </w:rPr>
        <w:tab/>
      </w:r>
      <w:r w:rsidRPr="00570F99">
        <w:rPr>
          <w:rFonts w:ascii="UnitPro-Light" w:hAnsi="UnitPro-Light" w:cs="UnitPro-Light"/>
        </w:rPr>
        <w:tab/>
      </w:r>
      <w:r w:rsidRPr="00570F99">
        <w:rPr>
          <w:rFonts w:ascii="UnitPro-Light" w:hAnsi="UnitPro-Light" w:cs="UnitPro-Light"/>
        </w:rPr>
        <w:tab/>
      </w:r>
      <w:r w:rsidRPr="00570F99">
        <w:rPr>
          <w:rFonts w:ascii="UnitPro-Light" w:hAnsi="UnitPro-Light" w:cs="UnitPro-Light"/>
        </w:rPr>
        <w:tab/>
      </w:r>
      <w:r w:rsidRPr="00570F99">
        <w:rPr>
          <w:rFonts w:ascii="UnitPro-Light" w:hAnsi="UnitPro-Light" w:cs="UnitPro-Light"/>
        </w:rPr>
        <w:tab/>
        <w:t>V Praze dne: ……………</w:t>
      </w:r>
    </w:p>
    <w:p w14:paraId="397083EC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</w:rPr>
      </w:pPr>
    </w:p>
    <w:p w14:paraId="2C81D0BF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  <w:b/>
        </w:rPr>
      </w:pPr>
    </w:p>
    <w:p w14:paraId="24E7325A" w14:textId="77777777" w:rsidR="00833762" w:rsidRPr="00570F99" w:rsidRDefault="00833762" w:rsidP="00833762">
      <w:pPr>
        <w:spacing w:after="0"/>
        <w:jc w:val="both"/>
        <w:rPr>
          <w:rFonts w:ascii="UnitPro-Light" w:hAnsi="UnitPro-Light" w:cs="UnitPro-Light"/>
        </w:rPr>
      </w:pPr>
    </w:p>
    <w:p w14:paraId="19FBFDF6" w14:textId="77777777" w:rsidR="00757780" w:rsidRPr="00570F99" w:rsidRDefault="00757780" w:rsidP="00833762">
      <w:pPr>
        <w:spacing w:after="0"/>
        <w:jc w:val="both"/>
        <w:rPr>
          <w:rFonts w:ascii="UnitPro-Light" w:hAnsi="UnitPro-Light" w:cs="UnitPro-Light"/>
        </w:rPr>
      </w:pPr>
    </w:p>
    <w:p w14:paraId="54837F69" w14:textId="54D6E766" w:rsidR="00833762" w:rsidRPr="00570F99" w:rsidRDefault="00833762" w:rsidP="00833762">
      <w:pPr>
        <w:spacing w:after="0"/>
        <w:jc w:val="both"/>
        <w:rPr>
          <w:rFonts w:ascii="UnitPro-Light" w:hAnsi="UnitPro-Light" w:cs="UnitPro-Light"/>
        </w:rPr>
      </w:pPr>
      <w:r w:rsidRPr="00570F99">
        <w:rPr>
          <w:rFonts w:ascii="UnitPro-Light" w:hAnsi="UnitPro-Light" w:cs="UnitPro-Light"/>
        </w:rPr>
        <w:t>.................................................</w:t>
      </w:r>
      <w:r w:rsidRPr="00570F99">
        <w:rPr>
          <w:rFonts w:ascii="UnitPro-Light" w:hAnsi="UnitPro-Light" w:cs="UnitPro-Light"/>
        </w:rPr>
        <w:tab/>
      </w:r>
      <w:r w:rsidRPr="00570F99">
        <w:rPr>
          <w:rFonts w:ascii="UnitPro-Light" w:hAnsi="UnitPro-Light" w:cs="UnitPro-Light"/>
        </w:rPr>
        <w:tab/>
      </w:r>
      <w:r w:rsidRPr="00570F99">
        <w:rPr>
          <w:rFonts w:ascii="UnitPro-Light" w:hAnsi="UnitPro-Light" w:cs="UnitPro-Light"/>
        </w:rPr>
        <w:tab/>
      </w:r>
      <w:r w:rsidR="00570F99">
        <w:rPr>
          <w:rFonts w:ascii="UnitPro-Light" w:hAnsi="UnitPro-Light" w:cs="UnitPro-Light"/>
        </w:rPr>
        <w:tab/>
      </w:r>
      <w:r w:rsidRPr="00570F99">
        <w:rPr>
          <w:rFonts w:ascii="UnitPro-Light" w:hAnsi="UnitPro-Light" w:cs="UnitPro-Light"/>
        </w:rPr>
        <w:t>......................................................</w:t>
      </w:r>
    </w:p>
    <w:p w14:paraId="7CD70050" w14:textId="77777777" w:rsidR="00E31C58" w:rsidRPr="00833762" w:rsidRDefault="00E31C58" w:rsidP="00E31C58">
      <w:pPr>
        <w:spacing w:after="0"/>
        <w:jc w:val="both"/>
        <w:rPr>
          <w:rFonts w:ascii="UnitPro" w:hAnsi="UnitPro" w:cs="UnitPro"/>
          <w:b/>
        </w:rPr>
      </w:pPr>
      <w:r w:rsidRPr="00833762">
        <w:rPr>
          <w:rFonts w:ascii="UnitPro" w:hAnsi="UnitPro" w:cs="UnitPro"/>
          <w:b/>
        </w:rPr>
        <w:t>Mgr. Adam Švejda</w:t>
      </w:r>
      <w:r w:rsidRPr="00833762">
        <w:rPr>
          <w:rFonts w:ascii="UnitPro" w:hAnsi="UnitPro" w:cs="UnitPro"/>
          <w:b/>
        </w:rPr>
        <w:tab/>
      </w:r>
      <w:r w:rsidRPr="00833762">
        <w:rPr>
          <w:rFonts w:ascii="UnitPro" w:hAnsi="UnitPro" w:cs="UnitPro"/>
          <w:b/>
        </w:rPr>
        <w:tab/>
      </w:r>
      <w:r w:rsidRPr="00833762">
        <w:rPr>
          <w:rFonts w:ascii="UnitPro" w:hAnsi="UnitPro" w:cs="UnitPro"/>
          <w:b/>
        </w:rPr>
        <w:tab/>
      </w:r>
      <w:r w:rsidRPr="00833762">
        <w:rPr>
          <w:rFonts w:ascii="UnitPro" w:hAnsi="UnitPro" w:cs="UnitPro"/>
          <w:b/>
        </w:rPr>
        <w:tab/>
      </w:r>
      <w:r w:rsidRPr="00833762">
        <w:rPr>
          <w:rFonts w:ascii="UnitPro" w:hAnsi="UnitPro" w:cs="UnitPro"/>
          <w:b/>
        </w:rPr>
        <w:tab/>
        <w:t>Štěpán Soukup</w:t>
      </w:r>
      <w:r w:rsidRPr="00833762">
        <w:rPr>
          <w:rFonts w:ascii="UnitPro" w:hAnsi="UnitPro" w:cs="UnitPro"/>
          <w:b/>
        </w:rPr>
        <w:tab/>
      </w:r>
    </w:p>
    <w:p w14:paraId="5F34014F" w14:textId="77777777" w:rsidR="00E31C58" w:rsidRPr="00833762" w:rsidRDefault="00E31C58" w:rsidP="00E31C58">
      <w:pPr>
        <w:spacing w:after="0"/>
        <w:jc w:val="both"/>
        <w:rPr>
          <w:rFonts w:ascii="UnitPro" w:hAnsi="UnitPro" w:cs="UnitPro"/>
        </w:rPr>
      </w:pPr>
      <w:r w:rsidRPr="00833762">
        <w:rPr>
          <w:rFonts w:ascii="UnitPro" w:hAnsi="UnitPro" w:cs="UnitPro"/>
        </w:rPr>
        <w:t>ředitel Sekce vnějších vztahů</w:t>
      </w:r>
      <w:r w:rsidRPr="00833762">
        <w:rPr>
          <w:rFonts w:ascii="UnitPro" w:hAnsi="UnitPro" w:cs="UnitPro"/>
        </w:rPr>
        <w:tab/>
      </w:r>
      <w:r w:rsidRPr="00833762">
        <w:rPr>
          <w:rFonts w:ascii="UnitPro" w:hAnsi="UnitPro" w:cs="UnitPro"/>
        </w:rPr>
        <w:tab/>
      </w:r>
      <w:r w:rsidRPr="00833762">
        <w:rPr>
          <w:rFonts w:ascii="UnitPro" w:hAnsi="UnitPro" w:cs="UnitPro"/>
        </w:rPr>
        <w:tab/>
      </w:r>
      <w:r w:rsidRPr="00833762">
        <w:rPr>
          <w:rFonts w:ascii="UnitPro" w:hAnsi="UnitPro" w:cs="UnitPro"/>
        </w:rPr>
        <w:tab/>
        <w:t>jednatel</w:t>
      </w:r>
    </w:p>
    <w:p w14:paraId="55D0FEDE" w14:textId="4AA6F972" w:rsidR="00757780" w:rsidRPr="00E31C58" w:rsidRDefault="00757780" w:rsidP="00E31C58">
      <w:pPr>
        <w:spacing w:after="0"/>
        <w:jc w:val="both"/>
        <w:rPr>
          <w:rFonts w:ascii="UnitPro" w:hAnsi="UnitPro" w:cs="UnitPro"/>
        </w:rPr>
      </w:pPr>
      <w:r w:rsidRPr="00E31C58">
        <w:rPr>
          <w:rFonts w:ascii="UnitPro" w:hAnsi="UnitPro" w:cs="UnitPro"/>
        </w:rPr>
        <w:t>I</w:t>
      </w:r>
      <w:r w:rsidR="00E31C58" w:rsidRPr="00E31C58">
        <w:rPr>
          <w:rFonts w:ascii="UnitPro" w:hAnsi="UnitPro" w:cs="UnitPro"/>
        </w:rPr>
        <w:t>nstitut plánování a rozvoje hl. m. Prahy</w:t>
      </w:r>
      <w:r w:rsidRPr="00E31C58">
        <w:rPr>
          <w:rFonts w:ascii="UnitPro" w:hAnsi="UnitPro" w:cs="UnitPro"/>
        </w:rPr>
        <w:tab/>
      </w:r>
      <w:r w:rsidRPr="00E31C58">
        <w:rPr>
          <w:rFonts w:ascii="UnitPro" w:hAnsi="UnitPro" w:cs="UnitPro"/>
        </w:rPr>
        <w:tab/>
      </w:r>
      <w:proofErr w:type="spellStart"/>
      <w:r w:rsidRPr="00E31C58">
        <w:rPr>
          <w:rFonts w:ascii="UnitPro" w:hAnsi="UnitPro" w:cs="UnitPro"/>
        </w:rPr>
        <w:t>PageFive</w:t>
      </w:r>
      <w:proofErr w:type="spellEnd"/>
      <w:r w:rsidRPr="00E31C58">
        <w:rPr>
          <w:rFonts w:ascii="UnitPro" w:hAnsi="UnitPro" w:cs="UnitPro"/>
        </w:rPr>
        <w:t xml:space="preserve"> s. r. o.</w:t>
      </w:r>
    </w:p>
    <w:p w14:paraId="53E74127" w14:textId="1227D86F" w:rsidR="00E31C58" w:rsidRPr="00E31C58" w:rsidRDefault="00E31C58" w:rsidP="00E31C58">
      <w:pPr>
        <w:spacing w:after="0"/>
        <w:jc w:val="both"/>
        <w:rPr>
          <w:rFonts w:ascii="UnitPro" w:hAnsi="UnitPro" w:cs="UnitPro"/>
        </w:rPr>
      </w:pPr>
      <w:r w:rsidRPr="00E31C58">
        <w:rPr>
          <w:rFonts w:ascii="UnitPro" w:hAnsi="UnitPro" w:cs="UnitPro"/>
        </w:rPr>
        <w:t>příspěvková organizace</w:t>
      </w:r>
    </w:p>
    <w:p w14:paraId="1868CB94" w14:textId="27E34B6B" w:rsidR="00A935CF" w:rsidRPr="00570F99" w:rsidRDefault="00A935CF" w:rsidP="00833762">
      <w:pPr>
        <w:rPr>
          <w:rFonts w:ascii="UnitPro-Light" w:hAnsi="UnitPro-Light" w:cs="UnitPro-Light"/>
        </w:rPr>
      </w:pPr>
    </w:p>
    <w:sectPr w:rsidR="00A935CF" w:rsidRPr="00570F99" w:rsidSect="008E6D7C">
      <w:headerReference w:type="default" r:id="rId11"/>
      <w:footerReference w:type="default" r:id="rId12"/>
      <w:pgSz w:w="11906" w:h="16838"/>
      <w:pgMar w:top="1417" w:right="1417" w:bottom="1417" w:left="1417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767738"/>
      <w:docPartObj>
        <w:docPartGallery w:val="Page Numbers (Bottom of Page)"/>
        <w:docPartUnique/>
      </w:docPartObj>
    </w:sdtPr>
    <w:sdtEndPr/>
    <w:sdtContent>
      <w:p w14:paraId="40C9DEDF" w14:textId="77777777" w:rsidR="008E6D7C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 </w:t>
        </w:r>
      </w:p>
      <w:p w14:paraId="6404BD1F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16B959C6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5FB5C869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29EE542E" w14:textId="5494DB5A" w:rsidR="006978D8" w:rsidRPr="006978D8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Stránka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PAGE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38576D">
          <w:rPr>
            <w:rFonts w:ascii="UnitPro" w:hAnsi="UnitPro" w:cs="UnitPro"/>
            <w:b/>
            <w:noProof/>
            <w:sz w:val="20"/>
            <w:szCs w:val="20"/>
          </w:rPr>
          <w:t>1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  <w:r w:rsidRPr="006978D8">
          <w:rPr>
            <w:rFonts w:ascii="UnitPro" w:hAnsi="UnitPro" w:cs="UnitPro"/>
            <w:sz w:val="20"/>
            <w:szCs w:val="20"/>
          </w:rPr>
          <w:t xml:space="preserve"> z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NUMPAGES \*Arabic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38576D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</w:p>
      <w:p w14:paraId="4094CFD1" w14:textId="515019E2" w:rsidR="00156451" w:rsidRDefault="0038576D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A13A" w14:textId="13A16488" w:rsidR="00B971C4" w:rsidRPr="004632EF" w:rsidRDefault="00B971C4" w:rsidP="00DF154A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" w:hAnsi="UnitPro" w:cs="UnitPro"/>
      </w:rPr>
    </w:pPr>
    <w:r w:rsidRPr="004632EF">
      <w:rPr>
        <w:rFonts w:ascii="UnitPro" w:hAnsi="UnitPro" w:cs="UnitPro"/>
      </w:rPr>
      <w:t xml:space="preserve">č. smlouvy </w:t>
    </w:r>
    <w:r w:rsidR="00DF154A">
      <w:rPr>
        <w:rFonts w:ascii="UnitPro" w:hAnsi="UnitPro" w:cs="UnitPro"/>
      </w:rPr>
      <w:t>objednatele</w:t>
    </w:r>
    <w:r w:rsidRPr="004632EF">
      <w:rPr>
        <w:rFonts w:ascii="UnitPro" w:hAnsi="UnitPro" w:cs="UnitPro"/>
      </w:rPr>
      <w:t xml:space="preserve">: ZAK </w:t>
    </w:r>
    <w:r w:rsidR="00833762">
      <w:rPr>
        <w:rFonts w:ascii="UnitPro" w:hAnsi="UnitPro" w:cs="UnitPro"/>
      </w:rPr>
      <w:t>17</w:t>
    </w:r>
    <w:r w:rsidR="002D3F49" w:rsidRPr="004632EF">
      <w:rPr>
        <w:rFonts w:ascii="UnitPro" w:hAnsi="UnitPro" w:cs="UnitPro"/>
      </w:rPr>
      <w:t>-0</w:t>
    </w:r>
    <w:r w:rsidR="00833762">
      <w:rPr>
        <w:rFonts w:ascii="UnitPro" w:hAnsi="UnitPro" w:cs="UnitPro"/>
      </w:rPr>
      <w:t>089</w:t>
    </w:r>
    <w:r w:rsidR="002D3F49" w:rsidRPr="004632EF">
      <w:rPr>
        <w:rFonts w:ascii="UnitPro" w:hAnsi="UnitPro" w:cs="UnitPro"/>
      </w:rPr>
      <w:tab/>
    </w:r>
  </w:p>
  <w:p w14:paraId="64760166" w14:textId="77777777" w:rsidR="002D3F49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8F"/>
    <w:multiLevelType w:val="hybridMultilevel"/>
    <w:tmpl w:val="D24C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E13AB5"/>
    <w:multiLevelType w:val="hybridMultilevel"/>
    <w:tmpl w:val="35B4C9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1F4786"/>
    <w:multiLevelType w:val="hybridMultilevel"/>
    <w:tmpl w:val="6936A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229"/>
    <w:multiLevelType w:val="hybridMultilevel"/>
    <w:tmpl w:val="28524278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3EEC"/>
    <w:multiLevelType w:val="hybridMultilevel"/>
    <w:tmpl w:val="0E60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2444"/>
    <w:multiLevelType w:val="hybridMultilevel"/>
    <w:tmpl w:val="16C6F068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336FD"/>
    <w:multiLevelType w:val="hybridMultilevel"/>
    <w:tmpl w:val="7ED4FB70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855F0"/>
    <w:multiLevelType w:val="hybridMultilevel"/>
    <w:tmpl w:val="ACA82016"/>
    <w:lvl w:ilvl="0" w:tplc="35DEF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7610F2"/>
    <w:multiLevelType w:val="hybridMultilevel"/>
    <w:tmpl w:val="8F2C26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8E037B6"/>
    <w:multiLevelType w:val="hybridMultilevel"/>
    <w:tmpl w:val="0C124B26"/>
    <w:lvl w:ilvl="0" w:tplc="2678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C1E8A"/>
    <w:multiLevelType w:val="hybridMultilevel"/>
    <w:tmpl w:val="C26C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D0516"/>
    <w:multiLevelType w:val="hybridMultilevel"/>
    <w:tmpl w:val="D276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2E51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23"/>
  </w:num>
  <w:num w:numId="5">
    <w:abstractNumId w:val="13"/>
  </w:num>
  <w:num w:numId="6">
    <w:abstractNumId w:val="14"/>
  </w:num>
  <w:num w:numId="7">
    <w:abstractNumId w:val="9"/>
  </w:num>
  <w:num w:numId="8">
    <w:abstractNumId w:val="10"/>
  </w:num>
  <w:num w:numId="9">
    <w:abstractNumId w:val="17"/>
  </w:num>
  <w:num w:numId="10">
    <w:abstractNumId w:val="1"/>
  </w:num>
  <w:num w:numId="11">
    <w:abstractNumId w:val="6"/>
  </w:num>
  <w:num w:numId="12">
    <w:abstractNumId w:val="5"/>
  </w:num>
  <w:num w:numId="13">
    <w:abstractNumId w:val="19"/>
  </w:num>
  <w:num w:numId="14">
    <w:abstractNumId w:val="2"/>
  </w:num>
  <w:num w:numId="15">
    <w:abstractNumId w:val="0"/>
  </w:num>
  <w:num w:numId="16">
    <w:abstractNumId w:val="18"/>
  </w:num>
  <w:num w:numId="17">
    <w:abstractNumId w:val="8"/>
  </w:num>
  <w:num w:numId="18">
    <w:abstractNumId w:val="22"/>
  </w:num>
  <w:num w:numId="19">
    <w:abstractNumId w:val="15"/>
  </w:num>
  <w:num w:numId="20">
    <w:abstractNumId w:val="20"/>
  </w:num>
  <w:num w:numId="21">
    <w:abstractNumId w:val="11"/>
  </w:num>
  <w:num w:numId="22">
    <w:abstractNumId w:val="27"/>
  </w:num>
  <w:num w:numId="23">
    <w:abstractNumId w:val="3"/>
  </w:num>
  <w:num w:numId="24">
    <w:abstractNumId w:val="7"/>
  </w:num>
  <w:num w:numId="25">
    <w:abstractNumId w:val="21"/>
  </w:num>
  <w:num w:numId="26">
    <w:abstractNumId w:val="4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0293"/>
    <w:rsid w:val="00011AE0"/>
    <w:rsid w:val="00013D23"/>
    <w:rsid w:val="00035C72"/>
    <w:rsid w:val="00035F94"/>
    <w:rsid w:val="00071C22"/>
    <w:rsid w:val="000809BD"/>
    <w:rsid w:val="000A5162"/>
    <w:rsid w:val="000B43AE"/>
    <w:rsid w:val="000C3443"/>
    <w:rsid w:val="00104694"/>
    <w:rsid w:val="00124C14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2D3F49"/>
    <w:rsid w:val="002E3CEB"/>
    <w:rsid w:val="00312319"/>
    <w:rsid w:val="00312A7B"/>
    <w:rsid w:val="003133BD"/>
    <w:rsid w:val="003217C8"/>
    <w:rsid w:val="003330E4"/>
    <w:rsid w:val="00333D6E"/>
    <w:rsid w:val="00340FB1"/>
    <w:rsid w:val="00343035"/>
    <w:rsid w:val="00346B7F"/>
    <w:rsid w:val="003568D0"/>
    <w:rsid w:val="0036426B"/>
    <w:rsid w:val="0038576D"/>
    <w:rsid w:val="003B3937"/>
    <w:rsid w:val="003B4631"/>
    <w:rsid w:val="003D0B0A"/>
    <w:rsid w:val="003E2E62"/>
    <w:rsid w:val="00415E01"/>
    <w:rsid w:val="0042593D"/>
    <w:rsid w:val="004632EF"/>
    <w:rsid w:val="00483F74"/>
    <w:rsid w:val="004910F0"/>
    <w:rsid w:val="00495E34"/>
    <w:rsid w:val="004A0BD4"/>
    <w:rsid w:val="004A30FA"/>
    <w:rsid w:val="004A36AB"/>
    <w:rsid w:val="004B30E0"/>
    <w:rsid w:val="004F69FE"/>
    <w:rsid w:val="0050446E"/>
    <w:rsid w:val="00512AAA"/>
    <w:rsid w:val="00533C6B"/>
    <w:rsid w:val="005537E3"/>
    <w:rsid w:val="005571FE"/>
    <w:rsid w:val="0055783B"/>
    <w:rsid w:val="00570F99"/>
    <w:rsid w:val="00576F87"/>
    <w:rsid w:val="005839E5"/>
    <w:rsid w:val="005F2BF7"/>
    <w:rsid w:val="00627A32"/>
    <w:rsid w:val="00667961"/>
    <w:rsid w:val="006714D3"/>
    <w:rsid w:val="006759AB"/>
    <w:rsid w:val="006939F1"/>
    <w:rsid w:val="006978D8"/>
    <w:rsid w:val="006F3997"/>
    <w:rsid w:val="006F44AA"/>
    <w:rsid w:val="0075355E"/>
    <w:rsid w:val="00756299"/>
    <w:rsid w:val="00757780"/>
    <w:rsid w:val="00772464"/>
    <w:rsid w:val="00780343"/>
    <w:rsid w:val="007A4FE2"/>
    <w:rsid w:val="007B6DBB"/>
    <w:rsid w:val="007B77BE"/>
    <w:rsid w:val="007C4D1D"/>
    <w:rsid w:val="007F07DC"/>
    <w:rsid w:val="00833762"/>
    <w:rsid w:val="00835B76"/>
    <w:rsid w:val="008409D5"/>
    <w:rsid w:val="00854BD4"/>
    <w:rsid w:val="00867A1F"/>
    <w:rsid w:val="00894AF1"/>
    <w:rsid w:val="008952CE"/>
    <w:rsid w:val="008E6D7C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1350"/>
    <w:rsid w:val="009A73B5"/>
    <w:rsid w:val="009D3E20"/>
    <w:rsid w:val="009E2938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5177F"/>
    <w:rsid w:val="00B660FD"/>
    <w:rsid w:val="00B971C4"/>
    <w:rsid w:val="00BE25AA"/>
    <w:rsid w:val="00BE65F0"/>
    <w:rsid w:val="00BF3CA4"/>
    <w:rsid w:val="00C2756A"/>
    <w:rsid w:val="00C74BF8"/>
    <w:rsid w:val="00C94D31"/>
    <w:rsid w:val="00CA0753"/>
    <w:rsid w:val="00CB6839"/>
    <w:rsid w:val="00CD4E63"/>
    <w:rsid w:val="00CE4F42"/>
    <w:rsid w:val="00CF58CA"/>
    <w:rsid w:val="00D00F18"/>
    <w:rsid w:val="00D12B49"/>
    <w:rsid w:val="00D15DCF"/>
    <w:rsid w:val="00D31533"/>
    <w:rsid w:val="00D40A95"/>
    <w:rsid w:val="00D804D1"/>
    <w:rsid w:val="00DA7AB6"/>
    <w:rsid w:val="00DF154A"/>
    <w:rsid w:val="00DF158E"/>
    <w:rsid w:val="00E01AE6"/>
    <w:rsid w:val="00E30876"/>
    <w:rsid w:val="00E31C58"/>
    <w:rsid w:val="00E375A2"/>
    <w:rsid w:val="00E54FB6"/>
    <w:rsid w:val="00E772E3"/>
    <w:rsid w:val="00EA711E"/>
    <w:rsid w:val="00EB2DE9"/>
    <w:rsid w:val="00F11D18"/>
    <w:rsid w:val="00F1680C"/>
    <w:rsid w:val="00F2682A"/>
    <w:rsid w:val="00F33E31"/>
    <w:rsid w:val="00F43A2E"/>
    <w:rsid w:val="00F81DC6"/>
    <w:rsid w:val="00F83877"/>
    <w:rsid w:val="00F942DD"/>
    <w:rsid w:val="00FB1188"/>
    <w:rsid w:val="00FB327A"/>
    <w:rsid w:val="00FB3A52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Textvbloku">
    <w:name w:val="Block Text"/>
    <w:basedOn w:val="Normln"/>
    <w:rsid w:val="00F11D18"/>
    <w:pPr>
      <w:tabs>
        <w:tab w:val="left" w:pos="1080"/>
      </w:tabs>
      <w:autoSpaceDE w:val="0"/>
      <w:autoSpaceDN w:val="0"/>
      <w:adjustRightInd w:val="0"/>
      <w:spacing w:after="0" w:line="240" w:lineRule="atLeast"/>
      <w:ind w:left="1077" w:right="249" w:hanging="510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897BDE-0FDE-4C66-8E88-E879A71F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10</cp:revision>
  <cp:lastPrinted>2019-08-26T13:01:00Z</cp:lastPrinted>
  <dcterms:created xsi:type="dcterms:W3CDTF">2019-08-08T13:48:00Z</dcterms:created>
  <dcterms:modified xsi:type="dcterms:W3CDTF">2019-10-08T07:10:00Z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