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E6" w:rsidRDefault="00FB3BD4">
      <w:pPr>
        <w:spacing w:after="102" w:line="259" w:lineRule="auto"/>
        <w:ind w:left="0" w:right="0" w:firstLine="0"/>
        <w:jc w:val="left"/>
      </w:pPr>
      <w:r>
        <w:t xml:space="preserve"> </w:t>
      </w:r>
    </w:p>
    <w:p w:rsidR="00A618E6" w:rsidRDefault="00FB3BD4">
      <w:pPr>
        <w:spacing w:after="6"/>
        <w:ind w:left="10" w:right="0"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-634</wp:posOffset>
                </wp:positionH>
                <wp:positionV relativeFrom="paragraph">
                  <wp:posOffset>-70475</wp:posOffset>
                </wp:positionV>
                <wp:extent cx="1892935" cy="876935"/>
                <wp:effectExtent l="0" t="0" r="0" b="0"/>
                <wp:wrapSquare wrapText="bothSides"/>
                <wp:docPr id="13018" name="Group 13018"/>
                <wp:cNvGraphicFramePr/>
                <a:graphic xmlns:a="http://schemas.openxmlformats.org/drawingml/2006/main">
                  <a:graphicData uri="http://schemas.microsoft.com/office/word/2010/wordprocessingGroup">
                    <wpg:wgp>
                      <wpg:cNvGrpSpPr/>
                      <wpg:grpSpPr>
                        <a:xfrm>
                          <a:off x="0" y="0"/>
                          <a:ext cx="1892935" cy="876935"/>
                          <a:chOff x="0" y="0"/>
                          <a:chExt cx="1892935" cy="876935"/>
                        </a:xfrm>
                      </wpg:grpSpPr>
                      <pic:pic xmlns:pic="http://schemas.openxmlformats.org/drawingml/2006/picture">
                        <pic:nvPicPr>
                          <pic:cNvPr id="1285" name="Picture 1285"/>
                          <pic:cNvPicPr/>
                        </pic:nvPicPr>
                        <pic:blipFill>
                          <a:blip r:embed="rId7"/>
                          <a:stretch>
                            <a:fillRect/>
                          </a:stretch>
                        </pic:blipFill>
                        <pic:spPr>
                          <a:xfrm>
                            <a:off x="0" y="0"/>
                            <a:ext cx="1892935" cy="876935"/>
                          </a:xfrm>
                          <a:prstGeom prst="rect">
                            <a:avLst/>
                          </a:prstGeom>
                        </pic:spPr>
                      </pic:pic>
                      <wps:wsp>
                        <wps:cNvPr id="1501" name="Rectangle 1501"/>
                        <wps:cNvSpPr/>
                        <wps:spPr>
                          <a:xfrm>
                            <a:off x="635" y="707964"/>
                            <a:ext cx="50657" cy="140258"/>
                          </a:xfrm>
                          <a:prstGeom prst="rect">
                            <a:avLst/>
                          </a:prstGeom>
                          <a:ln>
                            <a:noFill/>
                          </a:ln>
                        </wps:spPr>
                        <wps:txbx>
                          <w:txbxContent>
                            <w:p w:rsidR="00A618E6" w:rsidRDefault="00FB3BD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018" style="width:149.05pt;height:69.05pt;position:absolute;mso-position-horizontal-relative:text;mso-position-horizontal:absolute;margin-left:-0.0500031pt;mso-position-vertical-relative:text;margin-top:-5.54933pt;" coordsize="18929,8769">
                <v:shape id="Picture 1285" style="position:absolute;width:18929;height:8769;left:0;top:0;" filled="f">
                  <v:imagedata r:id="rId8"/>
                </v:shape>
                <v:rect id="Rectangle 1501" style="position:absolute;width:506;height:1402;left:6;top:7079;"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rPr>
          <w:sz w:val="26"/>
          <w:vertAlign w:val="superscript"/>
        </w:rPr>
        <w:t xml:space="preserve"> </w:t>
      </w:r>
      <w:r>
        <w:t xml:space="preserve"> </w:t>
      </w:r>
      <w:proofErr w:type="spellStart"/>
      <w:r>
        <w:rPr>
          <w:sz w:val="14"/>
        </w:rPr>
        <w:t>Deloitte</w:t>
      </w:r>
      <w:proofErr w:type="spellEnd"/>
      <w:r>
        <w:rPr>
          <w:sz w:val="14"/>
        </w:rPr>
        <w:t xml:space="preserve"> </w:t>
      </w:r>
      <w:proofErr w:type="spellStart"/>
      <w:r>
        <w:rPr>
          <w:sz w:val="14"/>
        </w:rPr>
        <w:t>Legal</w:t>
      </w:r>
      <w:proofErr w:type="spellEnd"/>
      <w:r>
        <w:rPr>
          <w:sz w:val="14"/>
        </w:rPr>
        <w:t xml:space="preserve"> s.r.o., advokátní kancelář </w:t>
      </w:r>
    </w:p>
    <w:p w:rsidR="00A618E6" w:rsidRDefault="00FB3BD4">
      <w:pPr>
        <w:spacing w:after="0" w:line="259" w:lineRule="auto"/>
        <w:ind w:left="3478" w:right="0" w:firstLine="0"/>
        <w:jc w:val="center"/>
      </w:pPr>
      <w:r>
        <w:rPr>
          <w:sz w:val="14"/>
        </w:rPr>
        <w:t xml:space="preserve"> </w:t>
      </w:r>
    </w:p>
    <w:p w:rsidR="00A618E6" w:rsidRDefault="00FB3BD4">
      <w:pPr>
        <w:spacing w:after="6"/>
        <w:ind w:left="6522" w:right="0" w:hanging="10"/>
        <w:jc w:val="left"/>
      </w:pPr>
      <w:r>
        <w:rPr>
          <w:sz w:val="14"/>
        </w:rPr>
        <w:t xml:space="preserve">Sídlo: Italská 2581/67, 120 00 Praha 2 </w:t>
      </w:r>
    </w:p>
    <w:p w:rsidR="00A618E6" w:rsidRDefault="00FB3BD4">
      <w:pPr>
        <w:spacing w:after="0" w:line="259" w:lineRule="auto"/>
        <w:ind w:left="3478" w:right="0" w:firstLine="0"/>
        <w:jc w:val="center"/>
      </w:pPr>
      <w:r>
        <w:rPr>
          <w:sz w:val="14"/>
        </w:rPr>
        <w:t xml:space="preserve"> </w:t>
      </w:r>
    </w:p>
    <w:p w:rsidR="00A618E6" w:rsidRDefault="00FB3BD4">
      <w:pPr>
        <w:spacing w:after="6"/>
        <w:ind w:left="6522" w:right="0" w:hanging="10"/>
        <w:jc w:val="left"/>
      </w:pPr>
      <w:r>
        <w:rPr>
          <w:sz w:val="14"/>
        </w:rPr>
        <w:t xml:space="preserve">Tel.: +420 246 042 500 </w:t>
      </w:r>
    </w:p>
    <w:p w:rsidR="00A618E6" w:rsidRDefault="00FB3BD4">
      <w:pPr>
        <w:spacing w:after="0" w:line="259" w:lineRule="auto"/>
        <w:ind w:left="3478" w:right="0" w:firstLine="0"/>
        <w:jc w:val="center"/>
      </w:pPr>
      <w:r>
        <w:rPr>
          <w:sz w:val="14"/>
        </w:rPr>
        <w:t xml:space="preserve"> </w:t>
      </w:r>
    </w:p>
    <w:p w:rsidR="00A618E6" w:rsidRDefault="00FB3BD4">
      <w:pPr>
        <w:spacing w:after="6"/>
        <w:ind w:left="6522" w:right="0" w:hanging="10"/>
        <w:jc w:val="left"/>
      </w:pPr>
      <w:r>
        <w:rPr>
          <w:sz w:val="14"/>
        </w:rPr>
        <w:t xml:space="preserve">www.deloittelegal.cz </w:t>
      </w:r>
    </w:p>
    <w:p w:rsidR="00A618E6" w:rsidRDefault="00FB3BD4">
      <w:pPr>
        <w:spacing w:after="0" w:line="259" w:lineRule="auto"/>
        <w:ind w:left="3478" w:right="0" w:firstLine="0"/>
        <w:jc w:val="center"/>
      </w:pPr>
      <w:r>
        <w:rPr>
          <w:sz w:val="14"/>
        </w:rPr>
        <w:t xml:space="preserve"> </w:t>
      </w:r>
    </w:p>
    <w:p w:rsidR="00A618E6" w:rsidRDefault="00FB3BD4">
      <w:pPr>
        <w:spacing w:after="6"/>
        <w:ind w:left="6522" w:right="0" w:hanging="10"/>
        <w:jc w:val="left"/>
      </w:pPr>
      <w:r>
        <w:rPr>
          <w:sz w:val="14"/>
        </w:rPr>
        <w:t xml:space="preserve">Zapsána v obchodním rejstříku Městského </w:t>
      </w:r>
    </w:p>
    <w:p w:rsidR="00A618E6" w:rsidRDefault="00FB3BD4">
      <w:pPr>
        <w:tabs>
          <w:tab w:val="center" w:pos="7671"/>
        </w:tabs>
        <w:spacing w:after="6"/>
        <w:ind w:left="0" w:right="0" w:firstLine="0"/>
        <w:jc w:val="left"/>
      </w:pPr>
      <w:r>
        <w:t xml:space="preserve"> </w:t>
      </w:r>
      <w:r>
        <w:tab/>
      </w:r>
      <w:r>
        <w:rPr>
          <w:sz w:val="14"/>
        </w:rPr>
        <w:t xml:space="preserve">soudu v Praze, </w:t>
      </w:r>
      <w:proofErr w:type="spellStart"/>
      <w:r>
        <w:rPr>
          <w:sz w:val="14"/>
        </w:rPr>
        <w:t>sp</w:t>
      </w:r>
      <w:proofErr w:type="spellEnd"/>
      <w:r>
        <w:rPr>
          <w:sz w:val="14"/>
        </w:rPr>
        <w:t xml:space="preserve">. zn. C 163302 </w:t>
      </w:r>
    </w:p>
    <w:p w:rsidR="00A618E6" w:rsidRDefault="00FB3BD4">
      <w:pPr>
        <w:spacing w:after="6"/>
        <w:ind w:left="6522" w:right="0" w:hanging="10"/>
        <w:jc w:val="left"/>
      </w:pPr>
      <w:r>
        <w:rPr>
          <w:sz w:val="14"/>
        </w:rPr>
        <w:t xml:space="preserve">IČO: 29055130, DIČ: CZ29055130  </w:t>
      </w:r>
    </w:p>
    <w:p w:rsidR="00A618E6" w:rsidRDefault="00FB3BD4">
      <w:pPr>
        <w:spacing w:after="0" w:line="259" w:lineRule="auto"/>
        <w:ind w:left="3478" w:right="0" w:firstLine="0"/>
        <w:jc w:val="center"/>
      </w:pPr>
      <w:r>
        <w:rPr>
          <w:sz w:val="14"/>
        </w:rPr>
        <w:t xml:space="preserve"> </w:t>
      </w:r>
    </w:p>
    <w:p w:rsidR="00A618E6" w:rsidRDefault="00FB3BD4">
      <w:pPr>
        <w:spacing w:after="0" w:line="259" w:lineRule="auto"/>
        <w:ind w:left="4070" w:right="0" w:firstLine="0"/>
        <w:jc w:val="center"/>
      </w:pPr>
      <w:r>
        <w:rPr>
          <w:sz w:val="14"/>
        </w:rPr>
        <w:t xml:space="preserve">Pobočky: </w:t>
      </w:r>
    </w:p>
    <w:p w:rsidR="00A618E6" w:rsidRDefault="00FB3BD4">
      <w:pPr>
        <w:spacing w:after="6"/>
        <w:ind w:left="6522" w:right="0" w:hanging="10"/>
        <w:jc w:val="left"/>
      </w:pPr>
      <w:r>
        <w:rPr>
          <w:sz w:val="14"/>
        </w:rPr>
        <w:t xml:space="preserve">Holandská 1, 639 00 Brno </w:t>
      </w:r>
    </w:p>
    <w:p w:rsidR="00A618E6" w:rsidRDefault="00FB3BD4">
      <w:pPr>
        <w:spacing w:after="706"/>
        <w:ind w:left="6522" w:right="0" w:hanging="10"/>
        <w:jc w:val="left"/>
      </w:pPr>
      <w:r>
        <w:rPr>
          <w:sz w:val="14"/>
        </w:rPr>
        <w:t xml:space="preserve">Prokešovo náměstí 2020/6, 702 00 Ostrava Anglické </w:t>
      </w:r>
      <w:proofErr w:type="spellStart"/>
      <w:r>
        <w:rPr>
          <w:sz w:val="14"/>
        </w:rPr>
        <w:t>náb</w:t>
      </w:r>
      <w:proofErr w:type="spellEnd"/>
      <w:r>
        <w:rPr>
          <w:sz w:val="14"/>
        </w:rPr>
        <w:t xml:space="preserve">. 1, 301 00 Plzeň nám. 28. října 20/2, 500 02 Hradec Králové </w:t>
      </w:r>
    </w:p>
    <w:p w:rsidR="00A618E6" w:rsidRDefault="00FB3BD4">
      <w:pPr>
        <w:pStyle w:val="Nadpis1"/>
      </w:pPr>
      <w:r>
        <w:t xml:space="preserve">Smlouva o poskytování služeb </w:t>
      </w:r>
    </w:p>
    <w:p w:rsidR="00A618E6" w:rsidRDefault="00FB3BD4">
      <w:pPr>
        <w:spacing w:after="16" w:line="259" w:lineRule="auto"/>
        <w:ind w:left="0" w:right="0" w:firstLine="0"/>
        <w:jc w:val="left"/>
      </w:pPr>
      <w:r>
        <w:t xml:space="preserve"> </w:t>
      </w:r>
    </w:p>
    <w:p w:rsidR="00A618E6" w:rsidRDefault="00FB3BD4">
      <w:pPr>
        <w:pStyle w:val="Nadpis2"/>
        <w:spacing w:after="23"/>
        <w:ind w:left="0" w:right="197"/>
      </w:pPr>
      <w:proofErr w:type="spellStart"/>
      <w:r>
        <w:t>Deloitte</w:t>
      </w:r>
      <w:proofErr w:type="spellEnd"/>
      <w:r>
        <w:t xml:space="preserve"> </w:t>
      </w:r>
      <w:proofErr w:type="spellStart"/>
      <w:r>
        <w:t>Legal</w:t>
      </w:r>
      <w:proofErr w:type="spellEnd"/>
      <w:r>
        <w:t xml:space="preserve"> s.r.o., advokátní kancelář</w:t>
      </w:r>
      <w:r>
        <w:rPr>
          <w:b w:val="0"/>
        </w:rPr>
        <w:t xml:space="preserve">  </w:t>
      </w:r>
    </w:p>
    <w:p w:rsidR="00A618E6" w:rsidRDefault="00FB3BD4">
      <w:pPr>
        <w:spacing w:after="3" w:line="282" w:lineRule="auto"/>
        <w:ind w:left="-5" w:hanging="10"/>
        <w:jc w:val="left"/>
      </w:pPr>
      <w:r>
        <w:t xml:space="preserve">se sídlem Italská 2581/67, 120 00 Praha 2, Česká republika IČO: 290 55 130 zapsaná v obchodním rejstříku vedeném Městským soudem v Praze, oddíl C, vložka 163302 zastoupená JUDr. Martinem Bohuslavem, jednatelem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jako poskytovatel služeb </w:t>
      </w:r>
    </w:p>
    <w:p w:rsidR="00A618E6" w:rsidRDefault="00FB3BD4">
      <w:pPr>
        <w:pStyle w:val="Nadpis2"/>
        <w:spacing w:after="23"/>
        <w:ind w:left="0" w:right="197"/>
      </w:pPr>
      <w:r>
        <w:rPr>
          <w:b w:val="0"/>
        </w:rPr>
        <w:t>(„</w:t>
      </w:r>
      <w:proofErr w:type="spellStart"/>
      <w:r>
        <w:t>Deloitte</w:t>
      </w:r>
      <w:proofErr w:type="spellEnd"/>
      <w:r>
        <w:t xml:space="preserve"> </w:t>
      </w:r>
      <w:proofErr w:type="spellStart"/>
      <w:r>
        <w:t>Legal</w:t>
      </w:r>
      <w:proofErr w:type="spellEnd"/>
      <w:r>
        <w:rPr>
          <w:b w:val="0"/>
        </w:rPr>
        <w:t xml:space="preserve">“) </w:t>
      </w:r>
    </w:p>
    <w:p w:rsidR="00A618E6" w:rsidRDefault="00FB3BD4">
      <w:pPr>
        <w:spacing w:after="20"/>
        <w:ind w:left="2" w:right="9463" w:firstLine="0"/>
      </w:pPr>
      <w:r>
        <w:t xml:space="preserve"> a  </w:t>
      </w:r>
    </w:p>
    <w:p w:rsidR="00A618E6" w:rsidRDefault="00FB3BD4">
      <w:pPr>
        <w:spacing w:after="16" w:line="259" w:lineRule="auto"/>
        <w:ind w:left="0" w:right="0" w:firstLine="0"/>
        <w:jc w:val="left"/>
      </w:pPr>
      <w:r>
        <w:t xml:space="preserve"> </w:t>
      </w:r>
    </w:p>
    <w:p w:rsidR="00A618E6" w:rsidRDefault="00FB3BD4">
      <w:pPr>
        <w:spacing w:after="3" w:line="282" w:lineRule="auto"/>
        <w:ind w:left="-5" w:right="5678" w:hanging="10"/>
        <w:jc w:val="left"/>
      </w:pPr>
      <w:r>
        <w:rPr>
          <w:b/>
        </w:rPr>
        <w:t xml:space="preserve">Město Český Krumlov </w:t>
      </w:r>
      <w:r>
        <w:t xml:space="preserve">se sídlem náměstí Svornosti 1 IČO: 002 45 836 zastoupené Mgr. Daliborem Cardou, starostou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jako objednatel služeb </w:t>
      </w:r>
    </w:p>
    <w:p w:rsidR="00A618E6" w:rsidRDefault="00FB3BD4">
      <w:pPr>
        <w:pStyle w:val="Nadpis2"/>
        <w:spacing w:after="23"/>
        <w:ind w:left="0" w:right="197"/>
      </w:pPr>
      <w:r>
        <w:rPr>
          <w:b w:val="0"/>
        </w:rPr>
        <w:t>(„</w:t>
      </w:r>
      <w:r>
        <w:t>Objednatel</w:t>
      </w:r>
      <w:r>
        <w:rPr>
          <w:b w:val="0"/>
        </w:rPr>
        <w:t xml:space="preserve">“) </w:t>
      </w:r>
    </w:p>
    <w:p w:rsidR="00A618E6" w:rsidRDefault="00FB3BD4">
      <w:pPr>
        <w:spacing w:after="16" w:line="259" w:lineRule="auto"/>
        <w:ind w:left="0" w:right="0" w:firstLine="0"/>
        <w:jc w:val="left"/>
      </w:pPr>
      <w:r>
        <w:t xml:space="preserve"> </w:t>
      </w:r>
    </w:p>
    <w:p w:rsidR="00A618E6" w:rsidRDefault="00FB3BD4">
      <w:pPr>
        <w:spacing w:after="24"/>
        <w:ind w:left="2" w:right="199" w:firstLine="0"/>
      </w:pPr>
      <w:r>
        <w:t xml:space="preserve">Na </w:t>
      </w:r>
      <w:proofErr w:type="spellStart"/>
      <w:r>
        <w:t>Deloitte</w:t>
      </w:r>
      <w:proofErr w:type="spellEnd"/>
      <w:r>
        <w:t xml:space="preserve"> </w:t>
      </w:r>
      <w:proofErr w:type="spellStart"/>
      <w:r>
        <w:t>Legal</w:t>
      </w:r>
      <w:proofErr w:type="spellEnd"/>
      <w:r>
        <w:t xml:space="preserve"> a Objednatele je dále také odkazováno jako na „</w:t>
      </w:r>
      <w:r>
        <w:rPr>
          <w:b/>
        </w:rPr>
        <w:t>Smluvní strany</w:t>
      </w:r>
      <w:r>
        <w:t xml:space="preserve">“. </w:t>
      </w:r>
    </w:p>
    <w:p w:rsidR="00A618E6" w:rsidRDefault="00FB3BD4">
      <w:pPr>
        <w:spacing w:after="16" w:line="259" w:lineRule="auto"/>
        <w:ind w:left="0" w:right="0" w:firstLine="0"/>
        <w:jc w:val="left"/>
      </w:pPr>
      <w:r>
        <w:t xml:space="preserve"> </w:t>
      </w:r>
    </w:p>
    <w:p w:rsidR="00A618E6" w:rsidRDefault="00FB3BD4">
      <w:pPr>
        <w:spacing w:after="16" w:line="259" w:lineRule="auto"/>
        <w:ind w:left="0" w:right="0" w:firstLine="0"/>
        <w:jc w:val="left"/>
      </w:pPr>
      <w:r>
        <w:t xml:space="preserve"> </w:t>
      </w:r>
    </w:p>
    <w:p w:rsidR="00A618E6" w:rsidRDefault="00FB3BD4">
      <w:pPr>
        <w:spacing w:after="20"/>
        <w:ind w:left="2" w:right="199" w:firstLine="0"/>
      </w:pPr>
      <w:r>
        <w:t>Vzhledem k tomu, že Objednatel zamýšlí nabýt vlastnictví českokrumlovské čistírny odpadních vod („</w:t>
      </w:r>
      <w:r>
        <w:rPr>
          <w:b/>
        </w:rPr>
        <w:t>ČOV</w:t>
      </w:r>
      <w:r>
        <w:t>“) prostřednictvím nákupu obchodního závodu společnosti ČOV Český Krumlov, s.r.o. („</w:t>
      </w:r>
      <w:r>
        <w:rPr>
          <w:b/>
        </w:rPr>
        <w:t>Závod</w:t>
      </w:r>
      <w:r>
        <w:t xml:space="preserve">“) a přívodního kanálu </w:t>
      </w:r>
      <w:proofErr w:type="gramStart"/>
      <w:r>
        <w:t>Větřní - Český</w:t>
      </w:r>
      <w:proofErr w:type="gramEnd"/>
      <w:r>
        <w:t xml:space="preserve"> Krumlov („</w:t>
      </w:r>
      <w:r>
        <w:rPr>
          <w:b/>
        </w:rPr>
        <w:t>Kanál</w:t>
      </w:r>
      <w:r>
        <w:t>“) (nabytí ČOV a Závodu dále společně též společně jako „</w:t>
      </w:r>
      <w:r>
        <w:rPr>
          <w:b/>
        </w:rPr>
        <w:t>Záměr</w:t>
      </w:r>
      <w:r>
        <w:t>“); a</w:t>
      </w:r>
      <w:r>
        <w:rPr>
          <w:b/>
        </w:rPr>
        <w:t xml:space="preserve"> </w:t>
      </w:r>
    </w:p>
    <w:p w:rsidR="00A618E6" w:rsidRDefault="00FB3BD4">
      <w:pPr>
        <w:spacing w:after="16" w:line="259" w:lineRule="auto"/>
        <w:ind w:left="0" w:right="0" w:firstLine="0"/>
        <w:jc w:val="left"/>
      </w:pPr>
      <w:r>
        <w:t xml:space="preserve"> </w:t>
      </w:r>
    </w:p>
    <w:p w:rsidR="00A618E6" w:rsidRDefault="00FB3BD4">
      <w:pPr>
        <w:spacing w:after="20"/>
        <w:ind w:left="2" w:right="199" w:firstLine="0"/>
      </w:pPr>
      <w:r>
        <w:t xml:space="preserve">vzhledem k tomu, že dne 11. září 2019 schválila Rada města Český Krumlov uzavření smlouvy s </w:t>
      </w:r>
      <w:proofErr w:type="spellStart"/>
      <w:r>
        <w:t>Deloitte</w:t>
      </w:r>
      <w:proofErr w:type="spellEnd"/>
      <w:r>
        <w:t xml:space="preserve"> </w:t>
      </w:r>
      <w:proofErr w:type="spellStart"/>
      <w:r>
        <w:t>Legal</w:t>
      </w:r>
      <w:proofErr w:type="spellEnd"/>
      <w:r>
        <w:t xml:space="preserve"> o poskytnutí poradenství spočívajícího posouzením právních, daňových a </w:t>
      </w:r>
      <w:proofErr w:type="spellStart"/>
      <w:r>
        <w:t>technicko-ekonomických</w:t>
      </w:r>
      <w:proofErr w:type="spellEnd"/>
      <w:r>
        <w:t xml:space="preserve"> aspektů souvisejících s nabytím českokrumlovské čistírny odpadních vod a přívodního kanálu Větřní – Český Krumlov,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uzavírá Objednatel s </w:t>
      </w:r>
      <w:proofErr w:type="spellStart"/>
      <w:r>
        <w:t>Deloitte</w:t>
      </w:r>
      <w:proofErr w:type="spellEnd"/>
      <w:r>
        <w:t xml:space="preserve"> </w:t>
      </w:r>
      <w:proofErr w:type="spellStart"/>
      <w:r>
        <w:t>Legal</w:t>
      </w:r>
      <w:proofErr w:type="spellEnd"/>
      <w:r>
        <w:t xml:space="preserve"> Smlouvu o poskytování služeb v následujícím znění: </w:t>
      </w:r>
    </w:p>
    <w:p w:rsidR="00A618E6" w:rsidRDefault="00FB3BD4">
      <w:pPr>
        <w:spacing w:after="366" w:line="259" w:lineRule="auto"/>
        <w:ind w:left="0" w:right="0" w:firstLine="0"/>
        <w:jc w:val="left"/>
      </w:pPr>
      <w:r>
        <w:rPr>
          <w:b/>
        </w:rPr>
        <w:t xml:space="preserve"> </w:t>
      </w:r>
    </w:p>
    <w:p w:rsidR="00A618E6" w:rsidRDefault="00FB3BD4">
      <w:pPr>
        <w:pStyle w:val="Nadpis2"/>
        <w:tabs>
          <w:tab w:val="center" w:pos="1514"/>
        </w:tabs>
        <w:ind w:left="-10" w:firstLine="0"/>
        <w:jc w:val="left"/>
      </w:pPr>
      <w:r>
        <w:rPr>
          <w:noProof/>
        </w:rPr>
        <w:drawing>
          <wp:inline distT="0" distB="0" distL="0" distR="0">
            <wp:extent cx="89154" cy="84582"/>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9"/>
                    <a:stretch>
                      <a:fillRect/>
                    </a:stretch>
                  </pic:blipFill>
                  <pic:spPr>
                    <a:xfrm>
                      <a:off x="0" y="0"/>
                      <a:ext cx="89154"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PŘEDMĚT SMLOUVY </w:t>
      </w:r>
    </w:p>
    <w:p w:rsidR="00A618E6" w:rsidRDefault="00FB3BD4">
      <w:pPr>
        <w:ind w:left="716" w:right="199"/>
      </w:pPr>
      <w:r>
        <w:rPr>
          <w:noProof/>
        </w:rPr>
        <w:drawing>
          <wp:inline distT="0" distB="0" distL="0" distR="0">
            <wp:extent cx="157734" cy="84582"/>
            <wp:effectExtent l="0" t="0" r="0" b="0"/>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10"/>
                    <a:stretch>
                      <a:fillRect/>
                    </a:stretch>
                  </pic:blipFill>
                  <pic:spPr>
                    <a:xfrm>
                      <a:off x="0" y="0"/>
                      <a:ext cx="157734"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proofErr w:type="spellStart"/>
      <w:r>
        <w:t>Deloitte</w:t>
      </w:r>
      <w:proofErr w:type="spellEnd"/>
      <w:r>
        <w:t xml:space="preserve"> </w:t>
      </w:r>
      <w:proofErr w:type="spellStart"/>
      <w:proofErr w:type="gramStart"/>
      <w:r>
        <w:t>Legal</w:t>
      </w:r>
      <w:proofErr w:type="spellEnd"/>
      <w:r>
        <w:t xml:space="preserve">  se</w:t>
      </w:r>
      <w:proofErr w:type="gramEnd"/>
      <w:r>
        <w:t xml:space="preserve"> zavazuje poskytovat Objednateli služby v rozsahu vymezeném v článku 2.1 této smlouvy. </w:t>
      </w:r>
    </w:p>
    <w:p w:rsidR="00A618E6" w:rsidRDefault="00FB3BD4">
      <w:pPr>
        <w:spacing w:after="375"/>
        <w:ind w:left="716" w:right="199"/>
      </w:pPr>
      <w:r>
        <w:rPr>
          <w:noProof/>
        </w:rPr>
        <w:drawing>
          <wp:inline distT="0" distB="0" distL="0" distR="0">
            <wp:extent cx="162306" cy="86106"/>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11"/>
                    <a:stretch>
                      <a:fillRect/>
                    </a:stretch>
                  </pic:blipFill>
                  <pic:spPr>
                    <a:xfrm>
                      <a:off x="0" y="0"/>
                      <a:ext cx="162306" cy="86106"/>
                    </a:xfrm>
                    <a:prstGeom prst="rect">
                      <a:avLst/>
                    </a:prstGeom>
                  </pic:spPr>
                </pic:pic>
              </a:graphicData>
            </a:graphic>
          </wp:inline>
        </w:drawing>
      </w:r>
      <w:r>
        <w:rPr>
          <w:rFonts w:ascii="Arial" w:eastAsia="Arial" w:hAnsi="Arial" w:cs="Arial"/>
        </w:rPr>
        <w:t xml:space="preserve"> </w:t>
      </w:r>
      <w:r>
        <w:t xml:space="preserve">Objednatel se zavazuje poskytnout </w:t>
      </w:r>
      <w:proofErr w:type="spellStart"/>
      <w:r>
        <w:t>Deloitte</w:t>
      </w:r>
      <w:proofErr w:type="spellEnd"/>
      <w:r>
        <w:t xml:space="preserve"> </w:t>
      </w:r>
      <w:proofErr w:type="spellStart"/>
      <w:r>
        <w:t>Legal</w:t>
      </w:r>
      <w:proofErr w:type="spellEnd"/>
      <w:r>
        <w:t xml:space="preserve"> veškerou součinnost potřebnou k řádnému poskytnutí předmětných služeb a uhradit odměnu v souladu s článkem III. této smlouvy. </w:t>
      </w:r>
    </w:p>
    <w:p w:rsidR="00A618E6" w:rsidRDefault="00FB3BD4">
      <w:pPr>
        <w:pStyle w:val="Nadpis2"/>
        <w:tabs>
          <w:tab w:val="center" w:pos="1356"/>
        </w:tabs>
        <w:ind w:left="-10" w:firstLine="0"/>
        <w:jc w:val="left"/>
      </w:pPr>
      <w:r>
        <w:rPr>
          <w:noProof/>
        </w:rPr>
        <w:lastRenderedPageBreak/>
        <w:drawing>
          <wp:inline distT="0" distB="0" distL="0" distR="0">
            <wp:extent cx="148590" cy="84582"/>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2"/>
                    <a:stretch>
                      <a:fillRect/>
                    </a:stretch>
                  </pic:blipFill>
                  <pic:spPr>
                    <a:xfrm>
                      <a:off x="0" y="0"/>
                      <a:ext cx="148590"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ROZSAH SLUŽEB </w:t>
      </w:r>
    </w:p>
    <w:p w:rsidR="00A618E6" w:rsidRDefault="00FB3BD4" w:rsidP="00D675B2">
      <w:pPr>
        <w:spacing w:after="55"/>
        <w:ind w:left="716" w:right="199"/>
      </w:pPr>
      <w:r>
        <w:rPr>
          <w:noProof/>
        </w:rPr>
        <w:drawing>
          <wp:inline distT="0" distB="0" distL="0" distR="0">
            <wp:extent cx="163830" cy="86106"/>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13"/>
                    <a:stretch>
                      <a:fillRect/>
                    </a:stretch>
                  </pic:blipFill>
                  <pic:spPr>
                    <a:xfrm>
                      <a:off x="0" y="0"/>
                      <a:ext cx="163830" cy="86106"/>
                    </a:xfrm>
                    <a:prstGeom prst="rect">
                      <a:avLst/>
                    </a:prstGeom>
                  </pic:spPr>
                </pic:pic>
              </a:graphicData>
            </a:graphic>
          </wp:inline>
        </w:drawing>
      </w:r>
      <w:r>
        <w:rPr>
          <w:rFonts w:ascii="Arial" w:eastAsia="Arial" w:hAnsi="Arial" w:cs="Arial"/>
        </w:rPr>
        <w:t xml:space="preserve"> </w:t>
      </w:r>
      <w:proofErr w:type="spellStart"/>
      <w:r>
        <w:t>Deloitte</w:t>
      </w:r>
      <w:proofErr w:type="spellEnd"/>
      <w:r>
        <w:t xml:space="preserve"> </w:t>
      </w:r>
      <w:proofErr w:type="spellStart"/>
      <w:r>
        <w:t>Legal</w:t>
      </w:r>
      <w:proofErr w:type="spellEnd"/>
      <w:r>
        <w:t xml:space="preserve"> poskytne v souvislosti se záměrem nabýt vlastnictví českokrumlovské čistírny odpadních vod a přívodního kanálu Větřní – Český Krumlov</w:t>
      </w:r>
      <w:r>
        <w:rPr>
          <w:i/>
        </w:rPr>
        <w:t xml:space="preserve"> </w:t>
      </w:r>
      <w:r>
        <w:t xml:space="preserve">Objednateli služby, které budou Objednateli </w:t>
      </w:r>
      <w:bookmarkStart w:id="0" w:name="_GoBack"/>
      <w:bookmarkEnd w:id="0"/>
      <w:r>
        <w:t xml:space="preserve">poskytnuty formou memoranda. Návrh memoranda bude Objednateli poskytnut nejpozději </w:t>
      </w:r>
      <w:proofErr w:type="gramStart"/>
      <w:r>
        <w:t>dne  1.</w:t>
      </w:r>
      <w:proofErr w:type="gramEnd"/>
      <w:r>
        <w:t xml:space="preserve"> listopadu 2019.  </w:t>
      </w:r>
    </w:p>
    <w:p w:rsidR="00A618E6" w:rsidRDefault="00FB3BD4">
      <w:pPr>
        <w:spacing w:after="113"/>
        <w:ind w:left="720" w:right="199" w:firstLine="0"/>
      </w:pPr>
      <w:proofErr w:type="spellStart"/>
      <w:r>
        <w:t>Deloitte</w:t>
      </w:r>
      <w:proofErr w:type="spellEnd"/>
      <w:r>
        <w:t xml:space="preserve"> </w:t>
      </w:r>
      <w:proofErr w:type="spellStart"/>
      <w:r>
        <w:t>Legal</w:t>
      </w:r>
      <w:proofErr w:type="spellEnd"/>
      <w:r>
        <w:t xml:space="preserve"> využije za účelem poskytnutí služeb Objednateli jako poddodavatele společnost </w:t>
      </w:r>
      <w:proofErr w:type="spellStart"/>
      <w:r>
        <w:t>Deloitte</w:t>
      </w:r>
      <w:proofErr w:type="spellEnd"/>
      <w:r>
        <w:t xml:space="preserve"> </w:t>
      </w:r>
      <w:proofErr w:type="spellStart"/>
      <w:r>
        <w:t>Advisory</w:t>
      </w:r>
      <w:proofErr w:type="spellEnd"/>
      <w:r>
        <w:t xml:space="preserve"> s.r.o., se sídlem Italská 2581/67, Vinohrady, 120 00 Praha 2, IČO: 275 82 167, a společnost Vodohospodářský rozvoj a výstavba a.s., se sídlem Nábřežní 90/4, Smíchov, 150 00 Praha </w:t>
      </w:r>
      <w:proofErr w:type="gramStart"/>
      <w:r>
        <w:t>5,  IČO</w:t>
      </w:r>
      <w:proofErr w:type="gramEnd"/>
      <w:r>
        <w:t xml:space="preserve">: 471 16 901. </w:t>
      </w:r>
    </w:p>
    <w:p w:rsidR="00A618E6" w:rsidRDefault="00FB3BD4">
      <w:pPr>
        <w:ind w:left="720" w:right="199" w:firstLine="0"/>
      </w:pPr>
      <w:r>
        <w:t xml:space="preserve">Obsahem memoranda bude zejména: </w:t>
      </w:r>
    </w:p>
    <w:p w:rsidR="00A618E6" w:rsidRDefault="00FB3BD4">
      <w:pPr>
        <w:pStyle w:val="Nadpis2"/>
        <w:spacing w:after="26"/>
        <w:ind w:left="718" w:right="197"/>
      </w:pPr>
      <w:r>
        <w:rPr>
          <w:b w:val="0"/>
        </w:rPr>
        <w:t>2.1.1</w:t>
      </w:r>
      <w:r>
        <w:rPr>
          <w:rFonts w:ascii="Arial" w:eastAsia="Arial" w:hAnsi="Arial" w:cs="Arial"/>
          <w:b w:val="0"/>
        </w:rPr>
        <w:t xml:space="preserve"> </w:t>
      </w:r>
      <w:r>
        <w:t xml:space="preserve">Vyhodnocení rizik plynoucích ze způsobu nabytí Závodu a ČOV v režimu insolvenčního zákona </w:t>
      </w:r>
    </w:p>
    <w:p w:rsidR="00A618E6" w:rsidRDefault="00FB3BD4">
      <w:pPr>
        <w:spacing w:after="16" w:line="259" w:lineRule="auto"/>
        <w:ind w:left="708" w:right="0" w:firstLine="0"/>
        <w:jc w:val="left"/>
      </w:pPr>
      <w:r>
        <w:t xml:space="preserve"> </w:t>
      </w:r>
    </w:p>
    <w:p w:rsidR="00A618E6" w:rsidRDefault="00FB3BD4">
      <w:pPr>
        <w:spacing w:after="47"/>
        <w:ind w:left="708" w:right="199" w:firstLine="0"/>
      </w:pPr>
      <w:r>
        <w:t xml:space="preserve">Obsahem této části memoranda bude zejména:  </w:t>
      </w:r>
    </w:p>
    <w:p w:rsidR="00A618E6" w:rsidRDefault="00FB3BD4">
      <w:pPr>
        <w:numPr>
          <w:ilvl w:val="0"/>
          <w:numId w:val="1"/>
        </w:numPr>
        <w:spacing w:after="44"/>
        <w:ind w:right="199" w:hanging="425"/>
      </w:pPr>
      <w:r>
        <w:t xml:space="preserve">Analýza dokumentů zveřejněných v insolvenčním rejstříku ve vztahu k insolvenci společnosti ČOV Český Krumlov zejména s ohledem na dosavadní vývoj insolvenčního řízení ve vztahu ke společnosti ČOV Český Krumlov a strukturu jejích stávajících věřitelů, jejich postavení (tj. zajištění věřitelé, nezajištění věřitelé, zajištění váznoucí na předmětu Záměru) v insolvenčním řízení;  </w:t>
      </w:r>
    </w:p>
    <w:p w:rsidR="00A618E6" w:rsidRDefault="00FB3BD4">
      <w:pPr>
        <w:numPr>
          <w:ilvl w:val="0"/>
          <w:numId w:val="1"/>
        </w:numPr>
        <w:spacing w:after="44"/>
        <w:ind w:right="199" w:hanging="425"/>
      </w:pPr>
      <w:r>
        <w:t xml:space="preserve">Vyhodnocení dosavadního a předpokládaného postupu věřitelů a insolvenčního správce v insolvenčním řízení a jejich možný vliv na proces nabytí Závodu prostřednictvím prodeje mimo dražbu v konkursu;  </w:t>
      </w:r>
    </w:p>
    <w:p w:rsidR="00A618E6" w:rsidRDefault="00FB3BD4">
      <w:pPr>
        <w:numPr>
          <w:ilvl w:val="0"/>
          <w:numId w:val="1"/>
        </w:numPr>
        <w:spacing w:after="44"/>
        <w:ind w:right="199" w:hanging="425"/>
      </w:pPr>
      <w:r>
        <w:t xml:space="preserve">Identifikace stávajících a budoucích právních rizik spojených s procesem nabytí Závodu prostřednictvím prodeje mimo dražbu v konkursu;  </w:t>
      </w:r>
    </w:p>
    <w:p w:rsidR="00A618E6" w:rsidRDefault="00FB3BD4">
      <w:pPr>
        <w:numPr>
          <w:ilvl w:val="0"/>
          <w:numId w:val="1"/>
        </w:numPr>
        <w:spacing w:after="44"/>
        <w:ind w:right="199" w:hanging="425"/>
      </w:pPr>
      <w:r>
        <w:t xml:space="preserve">Prověření nabývacích titulů k Závodu a analýza právního postavení subjektů zúčastněných na procesu nabytí Závodu;  </w:t>
      </w:r>
    </w:p>
    <w:p w:rsidR="00A618E6" w:rsidRDefault="00FB3BD4">
      <w:pPr>
        <w:numPr>
          <w:ilvl w:val="0"/>
          <w:numId w:val="1"/>
        </w:numPr>
        <w:spacing w:after="44"/>
        <w:ind w:right="199" w:hanging="425"/>
      </w:pPr>
      <w:r>
        <w:t xml:space="preserve">Analýza možnosti nabytí Závodu prostřednictvím prodeje mimo dražbu v konkursu, kdy by byla kupní cena Závodu financována z externích zdrojů; a  </w:t>
      </w:r>
    </w:p>
    <w:p w:rsidR="00A618E6" w:rsidRDefault="00FB3BD4">
      <w:pPr>
        <w:numPr>
          <w:ilvl w:val="0"/>
          <w:numId w:val="1"/>
        </w:numPr>
        <w:spacing w:after="21"/>
        <w:ind w:right="199" w:hanging="425"/>
      </w:pPr>
      <w:r>
        <w:t xml:space="preserve">Vyhodnocení právních rizik a přínosů nabytí Závodu prostřednictvím prodeje mimo dražbu v konkursu z pohledu Objednatele jako budoucího nabyvatele Závodu, s uvedením doporučeného postupu v rámci probíhajícího insolvenčního řízení. </w:t>
      </w:r>
    </w:p>
    <w:p w:rsidR="00A618E6" w:rsidRDefault="00FB3BD4">
      <w:pPr>
        <w:spacing w:after="126" w:line="259" w:lineRule="auto"/>
        <w:ind w:left="720" w:right="0" w:firstLine="0"/>
        <w:jc w:val="left"/>
      </w:pPr>
      <w:r>
        <w:t xml:space="preserve"> </w:t>
      </w:r>
    </w:p>
    <w:p w:rsidR="00A618E6" w:rsidRDefault="00FB3BD4">
      <w:pPr>
        <w:pStyle w:val="Nadpis2"/>
        <w:spacing w:after="26"/>
        <w:ind w:left="718" w:right="197"/>
      </w:pPr>
      <w:r>
        <w:rPr>
          <w:b w:val="0"/>
        </w:rPr>
        <w:t>2.1.2</w:t>
      </w:r>
      <w:r>
        <w:rPr>
          <w:rFonts w:ascii="Arial" w:eastAsia="Arial" w:hAnsi="Arial" w:cs="Arial"/>
          <w:b w:val="0"/>
        </w:rPr>
        <w:t xml:space="preserve"> </w:t>
      </w:r>
      <w:r>
        <w:t xml:space="preserve">Vyhodnocení provozních rizik plynoucích z budoucího vztahu mezi vlastníky provozně souvisejících kanalizací a z faktu, že jeden z nich, společnost JIP Papírny Větřní, a.s., je zároveň dominantním producentem odpadních vod, a návrh jejich optimálního ošetření v dohodě vlastníků </w:t>
      </w:r>
    </w:p>
    <w:p w:rsidR="00A618E6" w:rsidRDefault="00FB3BD4">
      <w:pPr>
        <w:spacing w:after="16" w:line="259" w:lineRule="auto"/>
        <w:ind w:left="720" w:right="0" w:firstLine="0"/>
        <w:jc w:val="left"/>
      </w:pPr>
      <w:r>
        <w:t xml:space="preserve"> </w:t>
      </w:r>
    </w:p>
    <w:p w:rsidR="00A618E6" w:rsidRDefault="00FB3BD4">
      <w:pPr>
        <w:spacing w:after="3" w:line="282" w:lineRule="auto"/>
        <w:ind w:left="730" w:right="193" w:hanging="10"/>
        <w:jc w:val="left"/>
      </w:pPr>
      <w:r>
        <w:t xml:space="preserve">Analýza možností dalšího provozu ČOV s ohledem na spolupráci se společností JIP Papírny Větřní, a.s., vztahy s vlastníky souvisejících kanalizací, ve které budou popsány nutné parametry případné dohody vlastníků. </w:t>
      </w:r>
    </w:p>
    <w:p w:rsidR="00A618E6" w:rsidRDefault="00FB3BD4">
      <w:pPr>
        <w:spacing w:after="126" w:line="259" w:lineRule="auto"/>
        <w:ind w:left="720" w:right="0" w:firstLine="0"/>
        <w:jc w:val="left"/>
      </w:pPr>
      <w:r>
        <w:t xml:space="preserve"> </w:t>
      </w:r>
    </w:p>
    <w:p w:rsidR="00A618E6" w:rsidRDefault="00FB3BD4">
      <w:pPr>
        <w:pStyle w:val="Nadpis2"/>
        <w:spacing w:after="25"/>
        <w:ind w:left="718" w:right="197"/>
      </w:pPr>
      <w:r>
        <w:rPr>
          <w:b w:val="0"/>
        </w:rPr>
        <w:t>2.1.3</w:t>
      </w:r>
      <w:r>
        <w:rPr>
          <w:rFonts w:ascii="Arial" w:eastAsia="Arial" w:hAnsi="Arial" w:cs="Arial"/>
          <w:b w:val="0"/>
        </w:rPr>
        <w:t xml:space="preserve"> </w:t>
      </w:r>
      <w:r>
        <w:rPr>
          <w:rFonts w:ascii="Arial" w:eastAsia="Arial" w:hAnsi="Arial" w:cs="Arial"/>
          <w:b w:val="0"/>
        </w:rPr>
        <w:tab/>
      </w:r>
      <w:r>
        <w:t xml:space="preserve">Realizace Záměru s ohledem na pravidla stanovená zákonem o zadávání veřejných zakázek </w:t>
      </w:r>
    </w:p>
    <w:p w:rsidR="00A618E6" w:rsidRDefault="00FB3BD4">
      <w:pPr>
        <w:spacing w:after="16" w:line="259" w:lineRule="auto"/>
        <w:ind w:left="708" w:right="0" w:firstLine="0"/>
        <w:jc w:val="left"/>
      </w:pPr>
      <w:r>
        <w:t xml:space="preserve"> </w:t>
      </w:r>
    </w:p>
    <w:p w:rsidR="00A618E6" w:rsidRDefault="00FB3BD4">
      <w:pPr>
        <w:spacing w:after="21"/>
        <w:ind w:left="708" w:right="199" w:firstLine="0"/>
      </w:pPr>
      <w:r>
        <w:t xml:space="preserve">Popsání rizik spojených se Záměrem z hlediska zákona o zadávání veřejných zakázek včetně případného doporučení vhodné formy zadávacího řízení. </w:t>
      </w:r>
    </w:p>
    <w:p w:rsidR="00A618E6" w:rsidRDefault="00FB3BD4">
      <w:pPr>
        <w:spacing w:after="126" w:line="259" w:lineRule="auto"/>
        <w:ind w:left="708" w:right="0" w:firstLine="0"/>
        <w:jc w:val="left"/>
      </w:pPr>
      <w:r>
        <w:t xml:space="preserve"> </w:t>
      </w:r>
    </w:p>
    <w:p w:rsidR="00A618E6" w:rsidRDefault="00FB3BD4">
      <w:pPr>
        <w:pStyle w:val="Nadpis2"/>
        <w:tabs>
          <w:tab w:val="center" w:pos="933"/>
          <w:tab w:val="center" w:pos="5424"/>
        </w:tabs>
        <w:spacing w:after="7"/>
        <w:ind w:left="0" w:firstLine="0"/>
        <w:jc w:val="left"/>
      </w:pPr>
      <w:r>
        <w:rPr>
          <w:rFonts w:ascii="Calibri" w:eastAsia="Calibri" w:hAnsi="Calibri" w:cs="Calibri"/>
          <w:b w:val="0"/>
          <w:sz w:val="22"/>
        </w:rPr>
        <w:tab/>
      </w:r>
      <w:r>
        <w:rPr>
          <w:b w:val="0"/>
        </w:rPr>
        <w:t>2.1.4</w:t>
      </w:r>
      <w:r>
        <w:rPr>
          <w:rFonts w:ascii="Arial" w:eastAsia="Arial" w:hAnsi="Arial" w:cs="Arial"/>
          <w:b w:val="0"/>
        </w:rPr>
        <w:t xml:space="preserve"> </w:t>
      </w:r>
      <w:r>
        <w:rPr>
          <w:rFonts w:ascii="Arial" w:eastAsia="Arial" w:hAnsi="Arial" w:cs="Arial"/>
          <w:b w:val="0"/>
        </w:rPr>
        <w:tab/>
      </w:r>
      <w:r>
        <w:t xml:space="preserve">Právní prověrka nabývaného nemovitého majetku a souvisejících závazků </w:t>
      </w:r>
    </w:p>
    <w:p w:rsidR="00A618E6" w:rsidRDefault="00FB3BD4">
      <w:pPr>
        <w:spacing w:after="102" w:line="259" w:lineRule="auto"/>
        <w:ind w:left="708" w:right="0" w:firstLine="0"/>
        <w:jc w:val="left"/>
      </w:pPr>
      <w:r>
        <w:t xml:space="preserve"> </w:t>
      </w:r>
    </w:p>
    <w:p w:rsidR="00A618E6" w:rsidRDefault="00FB3BD4">
      <w:pPr>
        <w:spacing w:after="50"/>
        <w:ind w:left="708" w:right="199" w:firstLine="0"/>
      </w:pPr>
      <w:r>
        <w:t xml:space="preserve">Právní prověrka sestávající z následujících kroků, nezávisle na zpřístupněných dokumentech, a to z veřejně dostupných zdrojů: </w:t>
      </w:r>
    </w:p>
    <w:p w:rsidR="00A618E6" w:rsidRDefault="00FB3BD4">
      <w:pPr>
        <w:numPr>
          <w:ilvl w:val="0"/>
          <w:numId w:val="2"/>
        </w:numPr>
        <w:spacing w:after="22"/>
        <w:ind w:right="199" w:hanging="425"/>
      </w:pPr>
      <w:r>
        <w:t xml:space="preserve">Revize smluv o zřízení věcných břemen či jiných služebností týkajících se souvisejících Nemovitostí a Kanálu. </w:t>
      </w:r>
    </w:p>
    <w:p w:rsidR="00A618E6" w:rsidRDefault="00FB3BD4">
      <w:pPr>
        <w:spacing w:after="0" w:line="259" w:lineRule="auto"/>
        <w:ind w:left="360" w:right="0" w:firstLine="0"/>
        <w:jc w:val="left"/>
      </w:pPr>
      <w:r>
        <w:t xml:space="preserve"> </w:t>
      </w:r>
    </w:p>
    <w:p w:rsidR="00A618E6" w:rsidRDefault="00FB3BD4">
      <w:pPr>
        <w:spacing w:after="44"/>
        <w:ind w:left="720" w:right="199" w:firstLine="0"/>
      </w:pPr>
      <w:r>
        <w:t xml:space="preserve">V rozsahu, v jakém budou k tomu potřebné dokumenty zpřístupněné ze strany společnosti ČOV Český Krumlov v </w:t>
      </w:r>
      <w:proofErr w:type="spellStart"/>
      <w:r>
        <w:t>dataroomu</w:t>
      </w:r>
      <w:proofErr w:type="spellEnd"/>
      <w:r>
        <w:t xml:space="preserve">, bude provedena právní prověrka sestávající z následujících kroků: </w:t>
      </w:r>
    </w:p>
    <w:p w:rsidR="00A618E6" w:rsidRDefault="00FB3BD4">
      <w:pPr>
        <w:numPr>
          <w:ilvl w:val="0"/>
          <w:numId w:val="2"/>
        </w:numPr>
        <w:spacing w:after="32"/>
        <w:ind w:right="199" w:hanging="425"/>
      </w:pPr>
      <w:r>
        <w:t xml:space="preserve">Revize veřejnoprávních povolení provozu ČOV; </w:t>
      </w:r>
    </w:p>
    <w:p w:rsidR="00A618E6" w:rsidRDefault="00FB3BD4">
      <w:pPr>
        <w:numPr>
          <w:ilvl w:val="0"/>
          <w:numId w:val="2"/>
        </w:numPr>
        <w:ind w:right="199" w:hanging="425"/>
      </w:pPr>
      <w:r>
        <w:t xml:space="preserve">Revize případných veřejnoprávních omezení provozu ČOV. </w:t>
      </w:r>
    </w:p>
    <w:p w:rsidR="00A618E6" w:rsidRDefault="00FB3BD4">
      <w:pPr>
        <w:pStyle w:val="Nadpis2"/>
        <w:tabs>
          <w:tab w:val="center" w:pos="933"/>
          <w:tab w:val="center" w:pos="2681"/>
        </w:tabs>
        <w:spacing w:after="29"/>
        <w:ind w:left="0" w:firstLine="0"/>
        <w:jc w:val="left"/>
      </w:pPr>
      <w:r>
        <w:rPr>
          <w:rFonts w:ascii="Calibri" w:eastAsia="Calibri" w:hAnsi="Calibri" w:cs="Calibri"/>
          <w:b w:val="0"/>
          <w:sz w:val="22"/>
        </w:rPr>
        <w:tab/>
      </w:r>
      <w:r>
        <w:rPr>
          <w:b w:val="0"/>
        </w:rPr>
        <w:t>2.1.5</w:t>
      </w:r>
      <w:r>
        <w:rPr>
          <w:rFonts w:ascii="Arial" w:eastAsia="Arial" w:hAnsi="Arial" w:cs="Arial"/>
          <w:b w:val="0"/>
        </w:rPr>
        <w:t xml:space="preserve"> </w:t>
      </w:r>
      <w:r>
        <w:rPr>
          <w:rFonts w:ascii="Arial" w:eastAsia="Arial" w:hAnsi="Arial" w:cs="Arial"/>
          <w:b w:val="0"/>
        </w:rPr>
        <w:tab/>
      </w:r>
      <w:r>
        <w:t xml:space="preserve">Základní daňová prověrka </w:t>
      </w:r>
    </w:p>
    <w:p w:rsidR="00A618E6" w:rsidRDefault="00FB3BD4">
      <w:pPr>
        <w:spacing w:after="16" w:line="259" w:lineRule="auto"/>
        <w:ind w:left="708" w:right="0" w:firstLine="0"/>
        <w:jc w:val="left"/>
      </w:pPr>
      <w:r>
        <w:t xml:space="preserve"> </w:t>
      </w:r>
    </w:p>
    <w:p w:rsidR="00A618E6" w:rsidRDefault="00FB3BD4">
      <w:pPr>
        <w:spacing w:after="20"/>
        <w:ind w:left="708" w:right="199" w:firstLine="0"/>
      </w:pPr>
      <w:r>
        <w:lastRenderedPageBreak/>
        <w:t xml:space="preserve">Na základě účetních a dalších podkladů zpřístupněných v </w:t>
      </w:r>
      <w:proofErr w:type="spellStart"/>
      <w:r>
        <w:t>Dataroomu</w:t>
      </w:r>
      <w:proofErr w:type="spellEnd"/>
      <w:r>
        <w:t xml:space="preserve"> budou zhodnocena </w:t>
      </w:r>
      <w:proofErr w:type="gramStart"/>
      <w:r>
        <w:t>rizika  a</w:t>
      </w:r>
      <w:proofErr w:type="gramEnd"/>
      <w:r>
        <w:t xml:space="preserve"> související účetní a daňové dopady formou písemné analýzy základních daňových aspektů nabytí předmětu Záměru pro kupujícího zejména z pohledu:  </w:t>
      </w:r>
    </w:p>
    <w:p w:rsidR="00A618E6" w:rsidRDefault="00FB3BD4">
      <w:pPr>
        <w:spacing w:after="40" w:line="259" w:lineRule="auto"/>
        <w:ind w:left="708" w:right="0" w:firstLine="0"/>
        <w:jc w:val="left"/>
      </w:pPr>
      <w:r>
        <w:t xml:space="preserve"> </w:t>
      </w:r>
    </w:p>
    <w:p w:rsidR="00A618E6" w:rsidRDefault="00FB3BD4">
      <w:pPr>
        <w:numPr>
          <w:ilvl w:val="0"/>
          <w:numId w:val="3"/>
        </w:numPr>
        <w:spacing w:after="45"/>
        <w:ind w:right="199" w:hanging="425"/>
      </w:pPr>
      <w:r>
        <w:t xml:space="preserve">Daně z přidané hodnoty (zejména posouzení převodu Závodu a nabytí Nemovitostí z pohledu všech souvislostí DPH); </w:t>
      </w:r>
    </w:p>
    <w:p w:rsidR="00A618E6" w:rsidRDefault="00FB3BD4">
      <w:pPr>
        <w:numPr>
          <w:ilvl w:val="0"/>
          <w:numId w:val="3"/>
        </w:numPr>
        <w:spacing w:after="44"/>
        <w:ind w:right="199" w:hanging="425"/>
      </w:pPr>
      <w:r>
        <w:t xml:space="preserve">Daně z nabytí nemovitých věcí s ohledem na právní status nabývaných Nemovitostí a statut nabyvatele (územní samosprávní celek vs. právnická osoba vlastněná územním samosprávním celkem aj.), dále popis dalších souvisejících náležitostí (termíny pro podání daňových přiznání, stanovení základu daně atd.); </w:t>
      </w:r>
    </w:p>
    <w:p w:rsidR="00A618E6" w:rsidRDefault="00FB3BD4">
      <w:pPr>
        <w:numPr>
          <w:ilvl w:val="0"/>
          <w:numId w:val="3"/>
        </w:numPr>
        <w:spacing w:after="44"/>
        <w:ind w:right="199" w:hanging="425"/>
      </w:pPr>
      <w:r>
        <w:t xml:space="preserve">Daně z příjmů právnických osob s ohledem na základ daně kupujícího, dále popis dopadů znaleckého posudku (účtování o goodwillu/oceňovacím rozdílu), dopady na budoucí daňové odpisy majetku, na odloženou daň atp.; </w:t>
      </w:r>
    </w:p>
    <w:p w:rsidR="00A618E6" w:rsidRDefault="00FB3BD4">
      <w:pPr>
        <w:numPr>
          <w:ilvl w:val="0"/>
          <w:numId w:val="3"/>
        </w:numPr>
        <w:spacing w:after="32"/>
        <w:ind w:right="199" w:hanging="425"/>
      </w:pPr>
      <w:r>
        <w:t xml:space="preserve">Indikace dopadů načasování realizace Záměru, mj. s ohledem na přechod zaměstnanců apod.;  </w:t>
      </w:r>
    </w:p>
    <w:p w:rsidR="00A618E6" w:rsidRDefault="00FB3BD4">
      <w:pPr>
        <w:numPr>
          <w:ilvl w:val="0"/>
          <w:numId w:val="3"/>
        </w:numPr>
        <w:spacing w:after="3" w:line="282" w:lineRule="auto"/>
        <w:ind w:right="199" w:hanging="425"/>
      </w:pPr>
      <w:r>
        <w:t xml:space="preserve">Povinností vůči správci daně a dalších státních institucí související s nákupem předmětu </w:t>
      </w:r>
      <w:proofErr w:type="gramStart"/>
      <w:r>
        <w:t xml:space="preserve">Záměru;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Komentáře k případným veřejnoprávním závazkům souvisejícím s nabytím předmětu Záměru;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Případně další relevantní komentáře (daň z nemovitých věcí, silniční daň apod.). </w:t>
      </w:r>
    </w:p>
    <w:p w:rsidR="00A618E6" w:rsidRDefault="00FB3BD4">
      <w:pPr>
        <w:spacing w:after="16" w:line="259" w:lineRule="auto"/>
        <w:ind w:left="708" w:right="0" w:firstLine="0"/>
        <w:jc w:val="left"/>
      </w:pPr>
      <w:r>
        <w:t xml:space="preserve"> </w:t>
      </w:r>
    </w:p>
    <w:p w:rsidR="00A618E6" w:rsidRDefault="00FB3BD4">
      <w:pPr>
        <w:spacing w:after="20"/>
        <w:ind w:left="708" w:right="199" w:firstLine="0"/>
      </w:pPr>
      <w:r>
        <w:t xml:space="preserve">Analýza základních daňových dopadů nabytí předmětu Záměru neobsahuje popis budoucího způsobu zdanění provozu předmětu Záměru a asistenci při případné implementaci. </w:t>
      </w:r>
    </w:p>
    <w:p w:rsidR="00A618E6" w:rsidRDefault="00FB3BD4">
      <w:pPr>
        <w:spacing w:after="127" w:line="259" w:lineRule="auto"/>
        <w:ind w:left="0" w:right="0" w:firstLine="0"/>
        <w:jc w:val="left"/>
      </w:pPr>
      <w:r>
        <w:t xml:space="preserve"> </w:t>
      </w:r>
    </w:p>
    <w:p w:rsidR="00A618E6" w:rsidRDefault="00FB3BD4">
      <w:pPr>
        <w:pStyle w:val="Nadpis2"/>
        <w:spacing w:after="26"/>
        <w:ind w:left="718" w:right="197"/>
      </w:pPr>
      <w:r>
        <w:rPr>
          <w:b w:val="0"/>
        </w:rPr>
        <w:t>2.1.6</w:t>
      </w:r>
      <w:r>
        <w:rPr>
          <w:rFonts w:ascii="Arial" w:eastAsia="Arial" w:hAnsi="Arial" w:cs="Arial"/>
          <w:b w:val="0"/>
        </w:rPr>
        <w:t xml:space="preserve"> </w:t>
      </w:r>
      <w:r>
        <w:t xml:space="preserve">Ekonomické posouzení nákladů na čištění odpadních vod s dopady na stočné dle scénářů uvedených ve výzvě k podání nabídky na poskytování poradenských služeb zaslané Objednatelem, kterou </w:t>
      </w:r>
      <w:proofErr w:type="spellStart"/>
      <w:r>
        <w:t>Deloitte</w:t>
      </w:r>
      <w:proofErr w:type="spellEnd"/>
      <w:r>
        <w:t xml:space="preserve"> </w:t>
      </w:r>
      <w:proofErr w:type="spellStart"/>
      <w:r>
        <w:t>Legal</w:t>
      </w:r>
      <w:proofErr w:type="spellEnd"/>
      <w:r>
        <w:t xml:space="preserve"> obdržel dne 8. července 2019 („Výzva“); další vývoj ceny stočného </w:t>
      </w:r>
    </w:p>
    <w:p w:rsidR="00A618E6" w:rsidRDefault="00FB3BD4">
      <w:pPr>
        <w:spacing w:after="16" w:line="259" w:lineRule="auto"/>
        <w:ind w:left="708" w:right="0" w:firstLine="0"/>
        <w:jc w:val="left"/>
      </w:pPr>
      <w:r>
        <w:t xml:space="preserve"> </w:t>
      </w:r>
    </w:p>
    <w:p w:rsidR="00A618E6" w:rsidRDefault="00FB3BD4">
      <w:pPr>
        <w:spacing w:after="44"/>
        <w:ind w:left="708" w:right="199" w:firstLine="0"/>
      </w:pPr>
      <w:r>
        <w:t xml:space="preserve">V rámci analýzy budou zhodnoceny nejméně tři scénáře vlastnictví ČOV a Kanálu s dopadem na vývoj stočného v budoucích 15 letech, a to:  </w:t>
      </w:r>
    </w:p>
    <w:p w:rsidR="00A618E6" w:rsidRDefault="00FB3BD4">
      <w:pPr>
        <w:numPr>
          <w:ilvl w:val="0"/>
          <w:numId w:val="4"/>
        </w:numPr>
        <w:spacing w:after="44"/>
        <w:ind w:right="199" w:hanging="425"/>
      </w:pPr>
      <w:r>
        <w:t xml:space="preserve">Scénář, ve kterém se Objednatel stane vlastníkem ČOV i Kanálu, přičemž nově nabytý vodohospodářský majetek bude spolu se současným vodohospodářským majetkem provozovat vybraný provozovatel, nebo bude nově nabytý vodohospodářský majetek provozován Objednatelem odděleně od současného vodohospodářského majetku. Výnosy v průběhu 15 let pak pokryjí náklady na pořízení ČOV a Kanálu, přičemž cena vodného a stočného bude splňovat nároky sociálně únosné ceny. </w:t>
      </w:r>
    </w:p>
    <w:p w:rsidR="00A618E6" w:rsidRDefault="00FB3BD4">
      <w:pPr>
        <w:numPr>
          <w:ilvl w:val="0"/>
          <w:numId w:val="4"/>
        </w:numPr>
        <w:spacing w:after="45"/>
        <w:ind w:right="199" w:hanging="425"/>
      </w:pPr>
      <w:r>
        <w:t xml:space="preserve">Scénář, ve kterém se vlastníkem ČOV i Kanálu stane třetí osoba, která při provozu tohoto vodohospodářského majetku plně vyčerpá všechny možnosti legální cenotvorby v rámci pravidel věcného usměrňování ceny. </w:t>
      </w:r>
    </w:p>
    <w:p w:rsidR="00A618E6" w:rsidRDefault="00FB3BD4">
      <w:pPr>
        <w:numPr>
          <w:ilvl w:val="0"/>
          <w:numId w:val="4"/>
        </w:numPr>
        <w:spacing w:after="22"/>
        <w:ind w:right="199" w:hanging="425"/>
      </w:pPr>
      <w:r>
        <w:t xml:space="preserve">Scénář, ve kterém ČOV nabude třetí osoba jako závod, přičemž vlastníkem Kanálu zůstane současný vlastník JIP Papírny Větřní, a.s. </w:t>
      </w:r>
    </w:p>
    <w:p w:rsidR="00A618E6" w:rsidRDefault="00FB3BD4">
      <w:pPr>
        <w:spacing w:after="16" w:line="259" w:lineRule="auto"/>
        <w:ind w:left="708" w:right="0" w:firstLine="0"/>
        <w:jc w:val="left"/>
      </w:pPr>
      <w:r>
        <w:t xml:space="preserve"> </w:t>
      </w:r>
    </w:p>
    <w:p w:rsidR="00A618E6" w:rsidRDefault="00FB3BD4">
      <w:pPr>
        <w:spacing w:after="20"/>
        <w:ind w:left="708" w:right="199" w:firstLine="0"/>
      </w:pPr>
      <w:r>
        <w:t xml:space="preserve">Srovnání bude provedeno na krycím listě nástroje pro modelování formou vícekriteriálního hodnocení. V této souvislosti bude zodpovězena i další otázka ohledně vývoje ceny stočného při maximalizaci zisku. V uvedených scénářích budou vyhodnoceny i </w:t>
      </w:r>
      <w:proofErr w:type="spellStart"/>
      <w:r>
        <w:t>podvarianty</w:t>
      </w:r>
      <w:proofErr w:type="spellEnd"/>
      <w:r>
        <w:t xml:space="preserve"> lišící se výčtem producentů odpadních vod využívajících ČOV a Kanál. </w:t>
      </w:r>
    </w:p>
    <w:p w:rsidR="00A618E6" w:rsidRDefault="00FB3BD4">
      <w:pPr>
        <w:spacing w:after="16" w:line="259" w:lineRule="auto"/>
        <w:ind w:left="708" w:right="0" w:firstLine="0"/>
        <w:jc w:val="left"/>
      </w:pPr>
      <w:r>
        <w:t xml:space="preserve"> </w:t>
      </w:r>
    </w:p>
    <w:p w:rsidR="00A618E6" w:rsidRDefault="00FB3BD4">
      <w:pPr>
        <w:ind w:left="708" w:right="199" w:firstLine="0"/>
      </w:pPr>
      <w:r>
        <w:t xml:space="preserve">Zde bude připraven </w:t>
      </w:r>
      <w:proofErr w:type="spellStart"/>
      <w:r>
        <w:t>excelový</w:t>
      </w:r>
      <w:proofErr w:type="spellEnd"/>
      <w:r>
        <w:t xml:space="preserve"> nástroj na modelování dopadů jednotlivých scénářů do vývoje stočného, včetně jejich porovnání a s ohledem na platnou legislativu včetně cenové regulace. Tento nástroj bude mít Objednatel k dispozici i po skončení smluvního vztahu pro další potřebu (např. argumentace při sjednávání úvěru pro financování Záměru). </w:t>
      </w:r>
    </w:p>
    <w:p w:rsidR="00A618E6" w:rsidRDefault="00FB3BD4">
      <w:pPr>
        <w:pStyle w:val="Nadpis2"/>
        <w:spacing w:after="25"/>
        <w:ind w:left="718" w:right="197"/>
      </w:pPr>
      <w:r>
        <w:rPr>
          <w:b w:val="0"/>
        </w:rPr>
        <w:t>2.1.7</w:t>
      </w:r>
      <w:r>
        <w:rPr>
          <w:rFonts w:ascii="Arial" w:eastAsia="Arial" w:hAnsi="Arial" w:cs="Arial"/>
          <w:b w:val="0"/>
        </w:rPr>
        <w:t xml:space="preserve"> </w:t>
      </w:r>
      <w:r>
        <w:rPr>
          <w:rFonts w:ascii="Arial" w:eastAsia="Arial" w:hAnsi="Arial" w:cs="Arial"/>
          <w:b w:val="0"/>
        </w:rPr>
        <w:tab/>
      </w:r>
      <w:r>
        <w:t xml:space="preserve">Popis </w:t>
      </w:r>
      <w:r>
        <w:tab/>
        <w:t xml:space="preserve">možných </w:t>
      </w:r>
      <w:r>
        <w:tab/>
        <w:t xml:space="preserve">způsobů </w:t>
      </w:r>
      <w:r>
        <w:tab/>
        <w:t xml:space="preserve">dlouhodobého </w:t>
      </w:r>
      <w:r>
        <w:tab/>
        <w:t xml:space="preserve">provozování </w:t>
      </w:r>
      <w:r>
        <w:tab/>
        <w:t xml:space="preserve">předmětu </w:t>
      </w:r>
      <w:r>
        <w:tab/>
        <w:t xml:space="preserve">Záměru Objednatelem </w:t>
      </w:r>
    </w:p>
    <w:p w:rsidR="00A618E6" w:rsidRDefault="00FB3BD4">
      <w:pPr>
        <w:spacing w:after="16" w:line="259" w:lineRule="auto"/>
        <w:ind w:left="708" w:right="0" w:firstLine="0"/>
        <w:jc w:val="left"/>
      </w:pPr>
      <w:r>
        <w:t xml:space="preserve"> </w:t>
      </w:r>
    </w:p>
    <w:p w:rsidR="00A618E6" w:rsidRDefault="00FB3BD4">
      <w:pPr>
        <w:spacing w:after="20"/>
        <w:ind w:left="708" w:right="199" w:firstLine="0"/>
      </w:pPr>
      <w:r>
        <w:t xml:space="preserve">Dle požadavků ve Výzvě budou popsána možná rizika spojená s provozem, stejně jako možná pozitiva plynoucí z vlastnictví předmětu Záměru. Zároveň bude připravena matice možných scénářů a jejich determinace na cenové dopady. </w:t>
      </w:r>
    </w:p>
    <w:p w:rsidR="00A618E6" w:rsidRDefault="00FB3BD4">
      <w:pPr>
        <w:spacing w:after="126" w:line="259" w:lineRule="auto"/>
        <w:ind w:left="708" w:right="0" w:firstLine="0"/>
        <w:jc w:val="left"/>
      </w:pPr>
      <w:r>
        <w:t xml:space="preserve"> </w:t>
      </w:r>
    </w:p>
    <w:p w:rsidR="00A618E6" w:rsidRDefault="00FB3BD4">
      <w:pPr>
        <w:pStyle w:val="Nadpis2"/>
        <w:tabs>
          <w:tab w:val="center" w:pos="933"/>
          <w:tab w:val="center" w:pos="3968"/>
        </w:tabs>
        <w:spacing w:after="29"/>
        <w:ind w:left="0" w:firstLine="0"/>
        <w:jc w:val="left"/>
      </w:pPr>
      <w:r>
        <w:rPr>
          <w:rFonts w:ascii="Calibri" w:eastAsia="Calibri" w:hAnsi="Calibri" w:cs="Calibri"/>
          <w:b w:val="0"/>
          <w:sz w:val="22"/>
        </w:rPr>
        <w:tab/>
      </w:r>
      <w:r>
        <w:rPr>
          <w:b w:val="0"/>
        </w:rPr>
        <w:t>2.1.8</w:t>
      </w:r>
      <w:r>
        <w:rPr>
          <w:rFonts w:ascii="Arial" w:eastAsia="Arial" w:hAnsi="Arial" w:cs="Arial"/>
          <w:b w:val="0"/>
        </w:rPr>
        <w:t xml:space="preserve"> </w:t>
      </w:r>
      <w:r>
        <w:rPr>
          <w:rFonts w:ascii="Arial" w:eastAsia="Arial" w:hAnsi="Arial" w:cs="Arial"/>
          <w:b w:val="0"/>
        </w:rPr>
        <w:tab/>
      </w:r>
      <w:r>
        <w:t xml:space="preserve">Základní technická prověrka podkladových materiálů </w:t>
      </w:r>
    </w:p>
    <w:p w:rsidR="00A618E6" w:rsidRDefault="00FB3BD4">
      <w:pPr>
        <w:spacing w:after="17" w:line="259" w:lineRule="auto"/>
        <w:ind w:left="708" w:right="0" w:firstLine="0"/>
        <w:jc w:val="left"/>
      </w:pPr>
      <w:r>
        <w:t xml:space="preserve"> </w:t>
      </w:r>
    </w:p>
    <w:p w:rsidR="00A618E6" w:rsidRDefault="00FB3BD4">
      <w:pPr>
        <w:spacing w:after="20"/>
        <w:ind w:left="708" w:right="199" w:firstLine="0"/>
      </w:pPr>
      <w:r>
        <w:t xml:space="preserve">Poddodavatel </w:t>
      </w:r>
      <w:proofErr w:type="spellStart"/>
      <w:r>
        <w:t>Deloitte</w:t>
      </w:r>
      <w:proofErr w:type="spellEnd"/>
      <w:r>
        <w:t xml:space="preserve"> </w:t>
      </w:r>
      <w:proofErr w:type="spellStart"/>
      <w:r>
        <w:t>Legal</w:t>
      </w:r>
      <w:proofErr w:type="spellEnd"/>
      <w:r>
        <w:t xml:space="preserve">, společnost Vodohospodářský rozvoj a výstavba a.s., se sídlem Nábřežní 90/4, Smíchov, 150 00 Praha 5, IČO: 471 16 901 zajistí </w:t>
      </w:r>
      <w:proofErr w:type="spellStart"/>
      <w:r>
        <w:t>technicko-ekonomické</w:t>
      </w:r>
      <w:proofErr w:type="spellEnd"/>
      <w:r>
        <w:t xml:space="preserve"> posouzení relevance předaných technických podkladů a expertiz vztahujících se k Záměru zpřístupněných v </w:t>
      </w:r>
      <w:proofErr w:type="spellStart"/>
      <w:r>
        <w:t>Dataroomu</w:t>
      </w:r>
      <w:proofErr w:type="spellEnd"/>
      <w:r>
        <w:t xml:space="preserve">, stejně jako odborné poradenství k posouzení ceny za stočné v řešených variantách.  </w:t>
      </w:r>
    </w:p>
    <w:p w:rsidR="00A618E6" w:rsidRDefault="00FB3BD4">
      <w:pPr>
        <w:spacing w:after="126" w:line="259" w:lineRule="auto"/>
        <w:ind w:left="708" w:right="0" w:firstLine="0"/>
        <w:jc w:val="left"/>
      </w:pPr>
      <w:r>
        <w:t xml:space="preserve"> </w:t>
      </w:r>
    </w:p>
    <w:p w:rsidR="00A618E6" w:rsidRDefault="00FB3BD4">
      <w:pPr>
        <w:pStyle w:val="Nadpis2"/>
        <w:tabs>
          <w:tab w:val="center" w:pos="933"/>
          <w:tab w:val="center" w:pos="2842"/>
        </w:tabs>
        <w:spacing w:after="31"/>
        <w:ind w:left="0" w:firstLine="0"/>
        <w:jc w:val="left"/>
      </w:pPr>
      <w:r>
        <w:rPr>
          <w:rFonts w:ascii="Calibri" w:eastAsia="Calibri" w:hAnsi="Calibri" w:cs="Calibri"/>
          <w:b w:val="0"/>
          <w:sz w:val="22"/>
        </w:rPr>
        <w:lastRenderedPageBreak/>
        <w:tab/>
      </w:r>
      <w:r>
        <w:rPr>
          <w:b w:val="0"/>
        </w:rPr>
        <w:t>2.1.9</w:t>
      </w:r>
      <w:r>
        <w:rPr>
          <w:rFonts w:ascii="Arial" w:eastAsia="Arial" w:hAnsi="Arial" w:cs="Arial"/>
          <w:b w:val="0"/>
        </w:rPr>
        <w:t xml:space="preserve"> </w:t>
      </w:r>
      <w:r>
        <w:rPr>
          <w:rFonts w:ascii="Arial" w:eastAsia="Arial" w:hAnsi="Arial" w:cs="Arial"/>
          <w:b w:val="0"/>
        </w:rPr>
        <w:tab/>
      </w:r>
      <w:r>
        <w:t xml:space="preserve">Možnosti financování Záměru </w:t>
      </w:r>
    </w:p>
    <w:p w:rsidR="00A618E6" w:rsidRDefault="00FB3BD4">
      <w:pPr>
        <w:spacing w:after="16" w:line="259" w:lineRule="auto"/>
        <w:ind w:left="708" w:right="0" w:firstLine="0"/>
        <w:jc w:val="left"/>
      </w:pPr>
      <w:r>
        <w:t xml:space="preserve"> </w:t>
      </w:r>
    </w:p>
    <w:p w:rsidR="00A618E6" w:rsidRDefault="00FB3BD4">
      <w:pPr>
        <w:ind w:left="708" w:right="199" w:firstLine="0"/>
      </w:pPr>
      <w:r>
        <w:t xml:space="preserve">V této části bude stručně rozebrána otázka z Výzvy ohledně adekvátnosti Objednatelem nabízené ceny za předmět Záměru. Současně budou rozebírány možnosti financování s přihlédnutím k postavení Objednatele. </w:t>
      </w:r>
    </w:p>
    <w:p w:rsidR="00A618E6" w:rsidRDefault="00FB3BD4">
      <w:pPr>
        <w:ind w:left="716" w:right="199"/>
      </w:pPr>
      <w:r>
        <w:rPr>
          <w:noProof/>
        </w:rPr>
        <w:drawing>
          <wp:inline distT="0" distB="0" distL="0" distR="0">
            <wp:extent cx="168402" cy="86106"/>
            <wp:effectExtent l="0" t="0" r="0" b="0"/>
            <wp:docPr id="1972" name="Picture 1972"/>
            <wp:cNvGraphicFramePr/>
            <a:graphic xmlns:a="http://schemas.openxmlformats.org/drawingml/2006/main">
              <a:graphicData uri="http://schemas.openxmlformats.org/drawingml/2006/picture">
                <pic:pic xmlns:pic="http://schemas.openxmlformats.org/drawingml/2006/picture">
                  <pic:nvPicPr>
                    <pic:cNvPr id="1972" name="Picture 1972"/>
                    <pic:cNvPicPr/>
                  </pic:nvPicPr>
                  <pic:blipFill>
                    <a:blip r:embed="rId14"/>
                    <a:stretch>
                      <a:fillRect/>
                    </a:stretch>
                  </pic:blipFill>
                  <pic:spPr>
                    <a:xfrm>
                      <a:off x="0" y="0"/>
                      <a:ext cx="168402" cy="86106"/>
                    </a:xfrm>
                    <a:prstGeom prst="rect">
                      <a:avLst/>
                    </a:prstGeom>
                  </pic:spPr>
                </pic:pic>
              </a:graphicData>
            </a:graphic>
          </wp:inline>
        </w:drawing>
      </w:r>
      <w:r>
        <w:rPr>
          <w:rFonts w:ascii="Arial" w:eastAsia="Arial" w:hAnsi="Arial" w:cs="Arial"/>
        </w:rPr>
        <w:t xml:space="preserve"> </w:t>
      </w:r>
      <w:r>
        <w:t xml:space="preserve">Objednatel a </w:t>
      </w:r>
      <w:proofErr w:type="spellStart"/>
      <w:r>
        <w:t>Deloitte</w:t>
      </w:r>
      <w:proofErr w:type="spellEnd"/>
      <w:r>
        <w:t xml:space="preserve"> </w:t>
      </w:r>
      <w:proofErr w:type="spellStart"/>
      <w:r>
        <w:t>Legal</w:t>
      </w:r>
      <w:proofErr w:type="spellEnd"/>
      <w:r>
        <w:t xml:space="preserve"> se mohou operativně dohodnout i na poskytnutí dalších služeb nad rozsah služeb vymezených v článku 2.1 této smlouvy dle aktuálních požadavků a potřeb Objednatele, a to na základě jednotlivých dílčích objednávek či nově sjednaného rozsahu poskytovaných právních služeb, pokud jej bude možno předem specificky určit. </w:t>
      </w:r>
    </w:p>
    <w:p w:rsidR="00A618E6" w:rsidRDefault="00FB3BD4">
      <w:pPr>
        <w:spacing w:after="376"/>
        <w:ind w:left="716" w:right="199"/>
      </w:pPr>
      <w:r>
        <w:rPr>
          <w:noProof/>
        </w:rPr>
        <w:drawing>
          <wp:inline distT="0" distB="0" distL="0" distR="0">
            <wp:extent cx="166878" cy="89154"/>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15"/>
                    <a:stretch>
                      <a:fillRect/>
                    </a:stretch>
                  </pic:blipFill>
                  <pic:spPr>
                    <a:xfrm>
                      <a:off x="0" y="0"/>
                      <a:ext cx="166878" cy="89154"/>
                    </a:xfrm>
                    <a:prstGeom prst="rect">
                      <a:avLst/>
                    </a:prstGeom>
                  </pic:spPr>
                </pic:pic>
              </a:graphicData>
            </a:graphic>
          </wp:inline>
        </w:drawing>
      </w:r>
      <w:r>
        <w:rPr>
          <w:rFonts w:ascii="Arial" w:eastAsia="Arial" w:hAnsi="Arial" w:cs="Arial"/>
        </w:rPr>
        <w:t xml:space="preserve"> </w:t>
      </w:r>
      <w:r>
        <w:t xml:space="preserve">Pokud by mělo dojít k podstatné změně dohodnutého rozsahu požadovaných právních služeb, ať už na základě požadavku Objednatele, odborného posouzení konkrétní situace ze strany </w:t>
      </w:r>
      <w:proofErr w:type="spellStart"/>
      <w:r>
        <w:t>Deloitte</w:t>
      </w:r>
      <w:proofErr w:type="spellEnd"/>
      <w:r>
        <w:t xml:space="preserve"> </w:t>
      </w:r>
      <w:proofErr w:type="spellStart"/>
      <w:r>
        <w:t>Legal</w:t>
      </w:r>
      <w:proofErr w:type="spellEnd"/>
      <w:r>
        <w:t xml:space="preserve"> či na základě jiných okolností, připraví </w:t>
      </w:r>
      <w:proofErr w:type="spellStart"/>
      <w:r>
        <w:t>Deloitte</w:t>
      </w:r>
      <w:proofErr w:type="spellEnd"/>
      <w:r>
        <w:t xml:space="preserve"> </w:t>
      </w:r>
      <w:proofErr w:type="spellStart"/>
      <w:r>
        <w:t>Legal</w:t>
      </w:r>
      <w:proofErr w:type="spellEnd"/>
      <w:r>
        <w:t xml:space="preserve"> neprodleně specifikaci změněného rozsahu požadovaných služeb a smluvních podmínek a předloží je Objednateli k odsouhlasení. </w:t>
      </w:r>
    </w:p>
    <w:p w:rsidR="00A618E6" w:rsidRDefault="00FB3BD4">
      <w:pPr>
        <w:pStyle w:val="Nadpis2"/>
        <w:tabs>
          <w:tab w:val="center" w:pos="1463"/>
        </w:tabs>
        <w:ind w:left="-10" w:firstLine="0"/>
        <w:jc w:val="left"/>
      </w:pPr>
      <w:r>
        <w:rPr>
          <w:noProof/>
        </w:rPr>
        <w:drawing>
          <wp:inline distT="0" distB="0" distL="0" distR="0">
            <wp:extent cx="208026" cy="84582"/>
            <wp:effectExtent l="0" t="0" r="0" b="0"/>
            <wp:docPr id="1997" name="Picture 1997"/>
            <wp:cNvGraphicFramePr/>
            <a:graphic xmlns:a="http://schemas.openxmlformats.org/drawingml/2006/main">
              <a:graphicData uri="http://schemas.openxmlformats.org/drawingml/2006/picture">
                <pic:pic xmlns:pic="http://schemas.openxmlformats.org/drawingml/2006/picture">
                  <pic:nvPicPr>
                    <pic:cNvPr id="1997" name="Picture 1997"/>
                    <pic:cNvPicPr/>
                  </pic:nvPicPr>
                  <pic:blipFill>
                    <a:blip r:embed="rId16"/>
                    <a:stretch>
                      <a:fillRect/>
                    </a:stretch>
                  </pic:blipFill>
                  <pic:spPr>
                    <a:xfrm>
                      <a:off x="0" y="0"/>
                      <a:ext cx="208026"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SMLUVNÍ ODMĚNA </w:t>
      </w:r>
    </w:p>
    <w:p w:rsidR="00A618E6" w:rsidRDefault="00FB3BD4">
      <w:pPr>
        <w:tabs>
          <w:tab w:val="center" w:pos="4121"/>
        </w:tabs>
        <w:ind w:left="0" w:right="0" w:firstLine="0"/>
        <w:jc w:val="left"/>
      </w:pPr>
      <w:r>
        <w:rPr>
          <w:noProof/>
        </w:rPr>
        <w:drawing>
          <wp:inline distT="0" distB="0" distL="0" distR="0">
            <wp:extent cx="163830" cy="89154"/>
            <wp:effectExtent l="0" t="0" r="0" b="0"/>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17"/>
                    <a:stretch>
                      <a:fillRect/>
                    </a:stretch>
                  </pic:blipFill>
                  <pic:spPr>
                    <a:xfrm>
                      <a:off x="0" y="0"/>
                      <a:ext cx="163830" cy="8915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Odměna za služby uvedené v článku 2.1 této smlouvy bude činit 1.290.000 Kč.  </w:t>
      </w:r>
    </w:p>
    <w:p w:rsidR="00A618E6" w:rsidRDefault="00FB3BD4">
      <w:pPr>
        <w:ind w:left="716" w:right="199"/>
      </w:pPr>
      <w:r>
        <w:rPr>
          <w:noProof/>
        </w:rPr>
        <w:drawing>
          <wp:inline distT="0" distB="0" distL="0" distR="0">
            <wp:extent cx="168402" cy="89154"/>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18"/>
                    <a:stretch>
                      <a:fillRect/>
                    </a:stretch>
                  </pic:blipFill>
                  <pic:spPr>
                    <a:xfrm>
                      <a:off x="0" y="0"/>
                      <a:ext cx="168402" cy="89154"/>
                    </a:xfrm>
                    <a:prstGeom prst="rect">
                      <a:avLst/>
                    </a:prstGeom>
                  </pic:spPr>
                </pic:pic>
              </a:graphicData>
            </a:graphic>
          </wp:inline>
        </w:drawing>
      </w:r>
      <w:r>
        <w:rPr>
          <w:rFonts w:ascii="Arial" w:eastAsia="Arial" w:hAnsi="Arial" w:cs="Arial"/>
        </w:rPr>
        <w:t xml:space="preserve"> </w:t>
      </w:r>
      <w:r>
        <w:t xml:space="preserve">Odměna za právní služby poskytnuté Objednateli dle článku 2.2 této smlouvy přesahující rozsah služeb uvedený výše, stejně tak jako za další služby poskytované Objednateli v budoucnu, bude vypočtena na základě pevné hodinové sazby, která činí 3 500,- Kč za hodinu, a času, který vynaloží </w:t>
      </w:r>
      <w:proofErr w:type="spellStart"/>
      <w:r>
        <w:t>Deloitte</w:t>
      </w:r>
      <w:proofErr w:type="spellEnd"/>
      <w:r>
        <w:t xml:space="preserve"> </w:t>
      </w:r>
      <w:proofErr w:type="spellStart"/>
      <w:r>
        <w:t>Legal</w:t>
      </w:r>
      <w:proofErr w:type="spellEnd"/>
      <w:r>
        <w:t xml:space="preserve"> při řešení dané záležitosti, včetně příprav, zpracování zpráv a případných řešení právních otázek souvisejících s danou záležitostí (pokud budou v daném případě nezbytná). </w:t>
      </w:r>
    </w:p>
    <w:p w:rsidR="00A618E6" w:rsidRDefault="00FB3BD4">
      <w:pPr>
        <w:ind w:left="716" w:right="199"/>
      </w:pPr>
      <w:r>
        <w:rPr>
          <w:noProof/>
        </w:rPr>
        <w:drawing>
          <wp:inline distT="0" distB="0" distL="0" distR="0">
            <wp:extent cx="166878" cy="89154"/>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19"/>
                    <a:stretch>
                      <a:fillRect/>
                    </a:stretch>
                  </pic:blipFill>
                  <pic:spPr>
                    <a:xfrm>
                      <a:off x="0" y="0"/>
                      <a:ext cx="166878" cy="89154"/>
                    </a:xfrm>
                    <a:prstGeom prst="rect">
                      <a:avLst/>
                    </a:prstGeom>
                  </pic:spPr>
                </pic:pic>
              </a:graphicData>
            </a:graphic>
          </wp:inline>
        </w:drawing>
      </w:r>
      <w:r>
        <w:rPr>
          <w:rFonts w:ascii="Arial" w:eastAsia="Arial" w:hAnsi="Arial" w:cs="Arial"/>
        </w:rPr>
        <w:t xml:space="preserve"> </w:t>
      </w:r>
      <w:r>
        <w:t xml:space="preserve">Pokud bude možno určit předem rozsah dalších služeb neobsažených ve výše uvedeném rozsahu, je možno pro takovéto další služby dohodnout též pevně stanovenou smluvní odměnu místo odměny vypočtené dle hodinových sazeb. </w:t>
      </w:r>
    </w:p>
    <w:p w:rsidR="00A618E6" w:rsidRDefault="00FB3BD4">
      <w:pPr>
        <w:ind w:left="716" w:right="199"/>
      </w:pPr>
      <w:r>
        <w:rPr>
          <w:noProof/>
        </w:rPr>
        <w:drawing>
          <wp:inline distT="0" distB="0" distL="0" distR="0">
            <wp:extent cx="169926" cy="89154"/>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20"/>
                    <a:stretch>
                      <a:fillRect/>
                    </a:stretch>
                  </pic:blipFill>
                  <pic:spPr>
                    <a:xfrm>
                      <a:off x="0" y="0"/>
                      <a:ext cx="169926" cy="89154"/>
                    </a:xfrm>
                    <a:prstGeom prst="rect">
                      <a:avLst/>
                    </a:prstGeom>
                  </pic:spPr>
                </pic:pic>
              </a:graphicData>
            </a:graphic>
          </wp:inline>
        </w:drawing>
      </w:r>
      <w:r>
        <w:rPr>
          <w:rFonts w:ascii="Arial" w:eastAsia="Arial" w:hAnsi="Arial" w:cs="Arial"/>
        </w:rPr>
        <w:t xml:space="preserve"> </w:t>
      </w:r>
      <w:r>
        <w:t xml:space="preserve">Uvedené smluvní odměny, s výjimkou odměny dle čl. 3.1 této smlouvy, nezahrnují výdaje vynaložené v souvislosti s poskytováním služeb (jako např. soudní poplatky, notářské poplatky, náklady na ověřené překlady dokumentů, cestovní výdaje, výdaje za ubytování, kurýrní služby, cenu zveřejnění oznámení, faxu, telefonních hovorů a kopírování apod.), které budou hrazeny </w:t>
      </w:r>
      <w:proofErr w:type="spellStart"/>
      <w:r>
        <w:t>Deloitte</w:t>
      </w:r>
      <w:proofErr w:type="spellEnd"/>
      <w:r>
        <w:t xml:space="preserve"> </w:t>
      </w:r>
      <w:proofErr w:type="spellStart"/>
      <w:r>
        <w:t>Legal</w:t>
      </w:r>
      <w:proofErr w:type="spellEnd"/>
      <w:r>
        <w:t xml:space="preserve"> a následně přeúčtovány Objednateli. Jelikož příprava detailní kalkulace nákladů na fax, telefon a kopírování by byla administrativně a časově náročná, bude </w:t>
      </w:r>
      <w:proofErr w:type="spellStart"/>
      <w:r>
        <w:t>Deloitte</w:t>
      </w:r>
      <w:proofErr w:type="spellEnd"/>
      <w:r>
        <w:t xml:space="preserve"> </w:t>
      </w:r>
      <w:proofErr w:type="spellStart"/>
      <w:r>
        <w:t>Legal</w:t>
      </w:r>
      <w:proofErr w:type="spellEnd"/>
      <w:r>
        <w:t xml:space="preserve"> oprávněna účtovat Objednateli částku odpovídající </w:t>
      </w:r>
      <w:proofErr w:type="gramStart"/>
      <w:r>
        <w:t>3%</w:t>
      </w:r>
      <w:proofErr w:type="gramEnd"/>
      <w:r>
        <w:t xml:space="preserve"> z odměny za příslušné právní služby jako náhradu takových výdajů. Bude-li </w:t>
      </w:r>
      <w:proofErr w:type="spellStart"/>
      <w:r>
        <w:t>Deloitte</w:t>
      </w:r>
      <w:proofErr w:type="spellEnd"/>
      <w:r>
        <w:t xml:space="preserve"> </w:t>
      </w:r>
      <w:proofErr w:type="spellStart"/>
      <w:r>
        <w:t>Legal</w:t>
      </w:r>
      <w:proofErr w:type="spellEnd"/>
      <w:r>
        <w:t xml:space="preserve"> předpokládat, že výdaje uvedené v tomto článku budou představovat významnou část vystavených faktur, požádá Objednatele předem o jejich schválení. </w:t>
      </w:r>
    </w:p>
    <w:p w:rsidR="00A618E6" w:rsidRDefault="00FB3BD4">
      <w:pPr>
        <w:ind w:left="716" w:right="199"/>
      </w:pPr>
      <w:r>
        <w:rPr>
          <w:noProof/>
        </w:rPr>
        <w:drawing>
          <wp:inline distT="0" distB="0" distL="0" distR="0">
            <wp:extent cx="168402" cy="89154"/>
            <wp:effectExtent l="0" t="0" r="0" b="0"/>
            <wp:docPr id="2069" name="Picture 2069"/>
            <wp:cNvGraphicFramePr/>
            <a:graphic xmlns:a="http://schemas.openxmlformats.org/drawingml/2006/main">
              <a:graphicData uri="http://schemas.openxmlformats.org/drawingml/2006/picture">
                <pic:pic xmlns:pic="http://schemas.openxmlformats.org/drawingml/2006/picture">
                  <pic:nvPicPr>
                    <pic:cNvPr id="2069" name="Picture 2069"/>
                    <pic:cNvPicPr/>
                  </pic:nvPicPr>
                  <pic:blipFill>
                    <a:blip r:embed="rId21"/>
                    <a:stretch>
                      <a:fillRect/>
                    </a:stretch>
                  </pic:blipFill>
                  <pic:spPr>
                    <a:xfrm>
                      <a:off x="0" y="0"/>
                      <a:ext cx="168402" cy="89154"/>
                    </a:xfrm>
                    <a:prstGeom prst="rect">
                      <a:avLst/>
                    </a:prstGeom>
                  </pic:spPr>
                </pic:pic>
              </a:graphicData>
            </a:graphic>
          </wp:inline>
        </w:drawing>
      </w:r>
      <w:r>
        <w:rPr>
          <w:rFonts w:ascii="Arial" w:eastAsia="Arial" w:hAnsi="Arial" w:cs="Arial"/>
        </w:rPr>
        <w:t xml:space="preserve"> </w:t>
      </w:r>
      <w:r>
        <w:t xml:space="preserve">Fakturu za služby uvedené v článku 2.1 této smlouvy vystaví </w:t>
      </w:r>
      <w:proofErr w:type="spellStart"/>
      <w:r>
        <w:t>Deloitte</w:t>
      </w:r>
      <w:proofErr w:type="spellEnd"/>
      <w:r>
        <w:t xml:space="preserve"> </w:t>
      </w:r>
      <w:proofErr w:type="spellStart"/>
      <w:r>
        <w:t>Legal</w:t>
      </w:r>
      <w:proofErr w:type="spellEnd"/>
      <w:r>
        <w:t xml:space="preserve"> po jejich provedení. Další případné faktury bude </w:t>
      </w:r>
      <w:proofErr w:type="spellStart"/>
      <w:r>
        <w:t>Deloitte</w:t>
      </w:r>
      <w:proofErr w:type="spellEnd"/>
      <w:r>
        <w:t xml:space="preserve"> </w:t>
      </w:r>
      <w:proofErr w:type="spellStart"/>
      <w:r>
        <w:t>Legal</w:t>
      </w:r>
      <w:proofErr w:type="spellEnd"/>
      <w:r>
        <w:t xml:space="preserve"> vystavovat měsíčně. Ke smluvní odměně bude připočtena příslušná daň z přidané hodnoty (v případě, že tak stanoví zákon č. 235/2004 Sb., o dani z přidané hodnoty, ve znění pozdějších předpisů). Z hlediska uplatňování DPH bude </w:t>
      </w:r>
      <w:proofErr w:type="spellStart"/>
      <w:r>
        <w:t>Deloitte</w:t>
      </w:r>
      <w:proofErr w:type="spellEnd"/>
      <w:r>
        <w:t xml:space="preserve"> </w:t>
      </w:r>
      <w:proofErr w:type="spellStart"/>
      <w:r>
        <w:t>Legal</w:t>
      </w:r>
      <w:proofErr w:type="spellEnd"/>
      <w:r>
        <w:t xml:space="preserve"> považovat poskytování služeb za soustavnou činnost, přičemž činnosti specifikované v jednotlivých vystavených fakturách budou představovat dílčí plnění poskytnutých služeb. Každé dílčí plnění bude považováno za uskutečněné dnem vystavení příslušné faktury. Pro usnadnění platby dané faktury může </w:t>
      </w:r>
      <w:proofErr w:type="spellStart"/>
      <w:r>
        <w:t>Deloitte</w:t>
      </w:r>
      <w:proofErr w:type="spellEnd"/>
      <w:r>
        <w:t xml:space="preserve"> </w:t>
      </w:r>
      <w:proofErr w:type="spellStart"/>
      <w:r>
        <w:t>Legal</w:t>
      </w:r>
      <w:proofErr w:type="spellEnd"/>
      <w:r>
        <w:t xml:space="preserve"> Objednateli zaslat elektronickou kopii faktury navíc k jejímu doručení poštou. Faktury </w:t>
      </w:r>
      <w:proofErr w:type="spellStart"/>
      <w:r>
        <w:t>Deloitte</w:t>
      </w:r>
      <w:proofErr w:type="spellEnd"/>
      <w:r>
        <w:t xml:space="preserve"> </w:t>
      </w:r>
      <w:proofErr w:type="spellStart"/>
      <w:r>
        <w:t>Legal</w:t>
      </w:r>
      <w:proofErr w:type="spellEnd"/>
      <w:r>
        <w:t xml:space="preserve"> budou splatné do třiceti (30) dnů od jejich vystavení. K fakturovaným částkám, které nebudou řádně a včas uhrazeny, si </w:t>
      </w:r>
      <w:proofErr w:type="spellStart"/>
      <w:r>
        <w:t>Deloitte</w:t>
      </w:r>
      <w:proofErr w:type="spellEnd"/>
      <w:r>
        <w:t xml:space="preserve"> </w:t>
      </w:r>
      <w:proofErr w:type="spellStart"/>
      <w:r>
        <w:t>Legal</w:t>
      </w:r>
      <w:proofErr w:type="spellEnd"/>
      <w:r>
        <w:t xml:space="preserve"> vyhrazuje právo účtovat úrok z prodlení v sazbě </w:t>
      </w:r>
      <w:proofErr w:type="gramStart"/>
      <w:r>
        <w:t>1,5%</w:t>
      </w:r>
      <w:proofErr w:type="gramEnd"/>
      <w:r>
        <w:t xml:space="preserve"> měsíčně. </w:t>
      </w:r>
    </w:p>
    <w:p w:rsidR="00A618E6" w:rsidRDefault="00FB3BD4">
      <w:pPr>
        <w:spacing w:after="376"/>
        <w:ind w:left="716" w:right="199"/>
      </w:pPr>
      <w:r>
        <w:rPr>
          <w:noProof/>
        </w:rPr>
        <w:drawing>
          <wp:inline distT="0" distB="0" distL="0" distR="0">
            <wp:extent cx="169926" cy="89154"/>
            <wp:effectExtent l="0" t="0" r="0" b="0"/>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22"/>
                    <a:stretch>
                      <a:fillRect/>
                    </a:stretch>
                  </pic:blipFill>
                  <pic:spPr>
                    <a:xfrm>
                      <a:off x="0" y="0"/>
                      <a:ext cx="169926" cy="89154"/>
                    </a:xfrm>
                    <a:prstGeom prst="rect">
                      <a:avLst/>
                    </a:prstGeom>
                  </pic:spPr>
                </pic:pic>
              </a:graphicData>
            </a:graphic>
          </wp:inline>
        </w:drawing>
      </w:r>
      <w:r>
        <w:rPr>
          <w:rFonts w:ascii="Arial" w:eastAsia="Arial" w:hAnsi="Arial" w:cs="Arial"/>
        </w:rPr>
        <w:t xml:space="preserve"> </w:t>
      </w:r>
      <w:r>
        <w:t xml:space="preserve">Jako klientovi, jehož pokyny se </w:t>
      </w:r>
      <w:proofErr w:type="spellStart"/>
      <w:r>
        <w:t>Deloitte</w:t>
      </w:r>
      <w:proofErr w:type="spellEnd"/>
      <w:r>
        <w:t xml:space="preserve"> </w:t>
      </w:r>
      <w:proofErr w:type="spellStart"/>
      <w:r>
        <w:t>Legal</w:t>
      </w:r>
      <w:proofErr w:type="spellEnd"/>
      <w:r>
        <w:t xml:space="preserve"> bude řídit, bude </w:t>
      </w:r>
      <w:proofErr w:type="spellStart"/>
      <w:r>
        <w:t>Deloitte</w:t>
      </w:r>
      <w:proofErr w:type="spellEnd"/>
      <w:r>
        <w:t xml:space="preserve"> </w:t>
      </w:r>
      <w:proofErr w:type="spellStart"/>
      <w:r>
        <w:t>Legal</w:t>
      </w:r>
      <w:proofErr w:type="spellEnd"/>
      <w:r>
        <w:t xml:space="preserve"> Objednateli vystavovat faktury i v případě, pokud by měly být hrazeny třetí stranou. Jestliže bude Objednatel požadovat, aby </w:t>
      </w:r>
      <w:proofErr w:type="spellStart"/>
      <w:r>
        <w:t>Deloitte</w:t>
      </w:r>
      <w:proofErr w:type="spellEnd"/>
      <w:r>
        <w:t xml:space="preserve"> </w:t>
      </w:r>
      <w:proofErr w:type="spellStart"/>
      <w:r>
        <w:t>Legal</w:t>
      </w:r>
      <w:proofErr w:type="spellEnd"/>
      <w:r>
        <w:t xml:space="preserve"> vystavila fakturu třetí straně, učiní tak v případě uzavření písemné smlouvy mezi </w:t>
      </w:r>
      <w:proofErr w:type="spellStart"/>
      <w:r>
        <w:t>Deloitte</w:t>
      </w:r>
      <w:proofErr w:type="spellEnd"/>
      <w:r>
        <w:t xml:space="preserve"> </w:t>
      </w:r>
      <w:proofErr w:type="spellStart"/>
      <w:r>
        <w:t>Legal</w:t>
      </w:r>
      <w:proofErr w:type="spellEnd"/>
      <w:r>
        <w:t xml:space="preserve"> a takovouto třetí stranou, přičemž Objednatel</w:t>
      </w:r>
      <w:r>
        <w:rPr>
          <w:i/>
        </w:rPr>
        <w:t xml:space="preserve"> </w:t>
      </w:r>
      <w:r>
        <w:t xml:space="preserve">zůstane i nadále odpovědný za úhradu faktur </w:t>
      </w:r>
      <w:proofErr w:type="spellStart"/>
      <w:r>
        <w:t>Deloitte</w:t>
      </w:r>
      <w:proofErr w:type="spellEnd"/>
      <w:r>
        <w:t xml:space="preserve"> </w:t>
      </w:r>
      <w:proofErr w:type="spellStart"/>
      <w:r>
        <w:t>Legal</w:t>
      </w:r>
      <w:proofErr w:type="spellEnd"/>
      <w:r>
        <w:t xml:space="preserve">. </w:t>
      </w:r>
    </w:p>
    <w:p w:rsidR="00A618E6" w:rsidRDefault="00FB3BD4">
      <w:pPr>
        <w:pStyle w:val="Nadpis2"/>
        <w:tabs>
          <w:tab w:val="center" w:pos="1865"/>
        </w:tabs>
        <w:ind w:left="-10" w:firstLine="0"/>
        <w:jc w:val="left"/>
      </w:pPr>
      <w:r>
        <w:rPr>
          <w:noProof/>
        </w:rPr>
        <w:drawing>
          <wp:inline distT="0" distB="0" distL="0" distR="0">
            <wp:extent cx="171450" cy="84582"/>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23"/>
                    <a:stretch>
                      <a:fillRect/>
                    </a:stretch>
                  </pic:blipFill>
                  <pic:spPr>
                    <a:xfrm>
                      <a:off x="0" y="0"/>
                      <a:ext cx="171450"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POSKYTOVÁNÍ INFORMACÍ </w:t>
      </w:r>
    </w:p>
    <w:p w:rsidR="00A618E6" w:rsidRDefault="00FB3BD4">
      <w:pPr>
        <w:ind w:left="716" w:right="199"/>
      </w:pPr>
      <w:r>
        <w:rPr>
          <w:noProof/>
        </w:rPr>
        <w:drawing>
          <wp:inline distT="0" distB="0" distL="0" distR="0">
            <wp:extent cx="168402" cy="84581"/>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24"/>
                    <a:stretch>
                      <a:fillRect/>
                    </a:stretch>
                  </pic:blipFill>
                  <pic:spPr>
                    <a:xfrm>
                      <a:off x="0" y="0"/>
                      <a:ext cx="168402" cy="84581"/>
                    </a:xfrm>
                    <a:prstGeom prst="rect">
                      <a:avLst/>
                    </a:prstGeom>
                  </pic:spPr>
                </pic:pic>
              </a:graphicData>
            </a:graphic>
          </wp:inline>
        </w:drawing>
      </w:r>
      <w:r>
        <w:rPr>
          <w:rFonts w:ascii="Arial" w:eastAsia="Arial" w:hAnsi="Arial" w:cs="Arial"/>
        </w:rPr>
        <w:t xml:space="preserve"> </w:t>
      </w:r>
      <w:r>
        <w:t xml:space="preserve">Pro poskytování právních služeb je velmi důležitá vzájemná fungující komunikace mezi oběma Smluvními stranami. Zdeněk Horáček bude považován za hlavní kontaktní osobu při poskytování služeb </w:t>
      </w:r>
      <w:proofErr w:type="spellStart"/>
      <w:r>
        <w:t>Deloitte</w:t>
      </w:r>
      <w:proofErr w:type="spellEnd"/>
      <w:r>
        <w:t xml:space="preserve"> </w:t>
      </w:r>
      <w:proofErr w:type="spellStart"/>
      <w:r>
        <w:t>Legal</w:t>
      </w:r>
      <w:proofErr w:type="spellEnd"/>
      <w:r>
        <w:t xml:space="preserve"> Objednateli. Pokud nebude dohodnuto jinak, pan Mgr. Radim Rouče bude hlavní kontaktní osobou ze strany Objednatele. </w:t>
      </w:r>
    </w:p>
    <w:p w:rsidR="00A618E6" w:rsidRDefault="00FB3BD4">
      <w:pPr>
        <w:ind w:left="716" w:right="199"/>
      </w:pPr>
      <w:r>
        <w:rPr>
          <w:noProof/>
        </w:rPr>
        <w:drawing>
          <wp:inline distT="0" distB="0" distL="0" distR="0">
            <wp:extent cx="172974" cy="86106"/>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25"/>
                    <a:stretch>
                      <a:fillRect/>
                    </a:stretch>
                  </pic:blipFill>
                  <pic:spPr>
                    <a:xfrm>
                      <a:off x="0" y="0"/>
                      <a:ext cx="172974" cy="86106"/>
                    </a:xfrm>
                    <a:prstGeom prst="rect">
                      <a:avLst/>
                    </a:prstGeom>
                  </pic:spPr>
                </pic:pic>
              </a:graphicData>
            </a:graphic>
          </wp:inline>
        </w:drawing>
      </w:r>
      <w:r>
        <w:rPr>
          <w:rFonts w:ascii="Arial" w:eastAsia="Arial" w:hAnsi="Arial" w:cs="Arial"/>
        </w:rPr>
        <w:t xml:space="preserve"> </w:t>
      </w:r>
      <w:r>
        <w:t xml:space="preserve">Jakýkoliv požadavek změny rozsahu poskytovaných služeb či objednávka dalších právních služeb musí být učiněny a odsouhlaseny formou dopisu, e-mailu či faxu. </w:t>
      </w:r>
    </w:p>
    <w:p w:rsidR="00A618E6" w:rsidRDefault="00FB3BD4">
      <w:pPr>
        <w:ind w:left="716" w:right="199"/>
      </w:pPr>
      <w:r>
        <w:rPr>
          <w:noProof/>
        </w:rPr>
        <w:drawing>
          <wp:inline distT="0" distB="0" distL="0" distR="0">
            <wp:extent cx="171450" cy="89154"/>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26"/>
                    <a:stretch>
                      <a:fillRect/>
                    </a:stretch>
                  </pic:blipFill>
                  <pic:spPr>
                    <a:xfrm>
                      <a:off x="0" y="0"/>
                      <a:ext cx="171450" cy="89154"/>
                    </a:xfrm>
                    <a:prstGeom prst="rect">
                      <a:avLst/>
                    </a:prstGeom>
                  </pic:spPr>
                </pic:pic>
              </a:graphicData>
            </a:graphic>
          </wp:inline>
        </w:drawing>
      </w:r>
      <w:r>
        <w:rPr>
          <w:rFonts w:ascii="Arial" w:eastAsia="Arial" w:hAnsi="Arial" w:cs="Arial"/>
        </w:rPr>
        <w:t xml:space="preserve"> </w:t>
      </w:r>
      <w:r>
        <w:t xml:space="preserve">Jakékoliv ústní rady, návrhy zpráv nebo zápisy z jednání, které </w:t>
      </w:r>
      <w:proofErr w:type="spellStart"/>
      <w:r>
        <w:t>Deloitte</w:t>
      </w:r>
      <w:proofErr w:type="spellEnd"/>
      <w:r>
        <w:t xml:space="preserve"> </w:t>
      </w:r>
      <w:proofErr w:type="spellStart"/>
      <w:r>
        <w:t>Legal</w:t>
      </w:r>
      <w:proofErr w:type="spellEnd"/>
      <w:r>
        <w:t xml:space="preserve"> případně poskytne Objednateli, nebudou definitivní právní radou, stanoviskem ani závěrem. Definitivní právní rada, stanovisko nebo závěr budou obsaženy výhradně v konečném písemném vyjádření </w:t>
      </w:r>
      <w:proofErr w:type="spellStart"/>
      <w:r>
        <w:t>Deloitte</w:t>
      </w:r>
      <w:proofErr w:type="spellEnd"/>
      <w:r>
        <w:t xml:space="preserve"> </w:t>
      </w:r>
      <w:proofErr w:type="spellStart"/>
      <w:r>
        <w:t>Legal</w:t>
      </w:r>
      <w:proofErr w:type="spellEnd"/>
      <w:r>
        <w:t xml:space="preserve">.  </w:t>
      </w:r>
    </w:p>
    <w:p w:rsidR="00A618E6" w:rsidRDefault="00FB3BD4">
      <w:pPr>
        <w:spacing w:after="258"/>
        <w:ind w:left="716" w:right="199"/>
      </w:pPr>
      <w:r>
        <w:rPr>
          <w:noProof/>
        </w:rPr>
        <w:lastRenderedPageBreak/>
        <w:drawing>
          <wp:inline distT="0" distB="0" distL="0" distR="0">
            <wp:extent cx="174498" cy="86106"/>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27"/>
                    <a:stretch>
                      <a:fillRect/>
                    </a:stretch>
                  </pic:blipFill>
                  <pic:spPr>
                    <a:xfrm>
                      <a:off x="0" y="0"/>
                      <a:ext cx="174498" cy="86106"/>
                    </a:xfrm>
                    <a:prstGeom prst="rect">
                      <a:avLst/>
                    </a:prstGeom>
                  </pic:spPr>
                </pic:pic>
              </a:graphicData>
            </a:graphic>
          </wp:inline>
        </w:drawing>
      </w:r>
      <w:r>
        <w:rPr>
          <w:rFonts w:ascii="Arial" w:eastAsia="Arial" w:hAnsi="Arial" w:cs="Arial"/>
        </w:rPr>
        <w:t xml:space="preserve"> </w:t>
      </w:r>
      <w:r>
        <w:t>Poskytne-li Objednatel</w:t>
      </w:r>
      <w:r>
        <w:rPr>
          <w:i/>
        </w:rPr>
        <w:t xml:space="preserve"> </w:t>
      </w:r>
      <w:proofErr w:type="spellStart"/>
      <w:r>
        <w:t>Deloitte</w:t>
      </w:r>
      <w:proofErr w:type="spellEnd"/>
      <w:r>
        <w:t xml:space="preserve"> </w:t>
      </w:r>
      <w:proofErr w:type="spellStart"/>
      <w:r>
        <w:t>Legal</w:t>
      </w:r>
      <w:proofErr w:type="spellEnd"/>
      <w:r>
        <w:t xml:space="preserve"> faxové spojení či adresu elektronické pošty, předpokládá </w:t>
      </w:r>
      <w:proofErr w:type="spellStart"/>
      <w:r>
        <w:t>Deloitte</w:t>
      </w:r>
      <w:proofErr w:type="spellEnd"/>
      <w:r>
        <w:t xml:space="preserve"> </w:t>
      </w:r>
      <w:proofErr w:type="spellStart"/>
      <w:r>
        <w:t>Legal</w:t>
      </w:r>
      <w:proofErr w:type="spellEnd"/>
      <w:r>
        <w:t xml:space="preserve"> (pokud není oznámen opak), že Objednatel</w:t>
      </w:r>
      <w:r>
        <w:rPr>
          <w:i/>
        </w:rPr>
        <w:t xml:space="preserve"> </w:t>
      </w:r>
      <w:r>
        <w:t xml:space="preserve">souhlasí s využitím těchto prostředků při vzájemné komunikaci a že považuje tento způsob převodu informací za dostatečně bezpečný a důvěrný s ohledem na ochranu zájmů Objednatele a že Objednatel zajistí ochranu integrity dat (např. antivirovou ochranu). </w:t>
      </w:r>
      <w:proofErr w:type="spellStart"/>
      <w:r>
        <w:t>Deloitte</w:t>
      </w:r>
      <w:proofErr w:type="spellEnd"/>
      <w:r>
        <w:t xml:space="preserve"> </w:t>
      </w:r>
      <w:proofErr w:type="spellStart"/>
      <w:r>
        <w:t>Legal</w:t>
      </w:r>
      <w:proofErr w:type="spellEnd"/>
      <w:r>
        <w:t xml:space="preserve"> bude oprávněna použít toto faxové spojení či adresu elektronické pošty nejenom v souvislosti s poskytovanými právními službami, ale také za účelem zasílání obchodních sdělení týkajících se nabídek dalších služeb, pokud toto Objednatel neodmítne. </w:t>
      </w:r>
    </w:p>
    <w:p w:rsidR="00A618E6" w:rsidRDefault="00FB3BD4">
      <w:pPr>
        <w:pStyle w:val="Nadpis2"/>
        <w:tabs>
          <w:tab w:val="center" w:pos="2593"/>
        </w:tabs>
        <w:ind w:left="-10" w:firstLine="0"/>
        <w:jc w:val="left"/>
      </w:pPr>
      <w:r>
        <w:rPr>
          <w:noProof/>
        </w:rPr>
        <w:drawing>
          <wp:inline distT="0" distB="0" distL="0" distR="0">
            <wp:extent cx="118110" cy="84582"/>
            <wp:effectExtent l="0" t="0" r="0" b="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28"/>
                    <a:stretch>
                      <a:fillRect/>
                    </a:stretch>
                  </pic:blipFill>
                  <pic:spPr>
                    <a:xfrm>
                      <a:off x="0" y="0"/>
                      <a:ext cx="118110"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DŮVĚRNOST, OCHRANA OSOBNÍCH ÚDAJŮ </w:t>
      </w:r>
    </w:p>
    <w:p w:rsidR="00A618E6" w:rsidRDefault="00FB3BD4">
      <w:pPr>
        <w:ind w:left="716" w:right="199"/>
      </w:pPr>
      <w:r>
        <w:rPr>
          <w:noProof/>
        </w:rPr>
        <w:drawing>
          <wp:inline distT="0" distB="0" distL="0" distR="0">
            <wp:extent cx="162306" cy="87630"/>
            <wp:effectExtent l="0" t="0" r="0" b="0"/>
            <wp:docPr id="2248" name="Picture 2248"/>
            <wp:cNvGraphicFramePr/>
            <a:graphic xmlns:a="http://schemas.openxmlformats.org/drawingml/2006/main">
              <a:graphicData uri="http://schemas.openxmlformats.org/drawingml/2006/picture">
                <pic:pic xmlns:pic="http://schemas.openxmlformats.org/drawingml/2006/picture">
                  <pic:nvPicPr>
                    <pic:cNvPr id="2248" name="Picture 2248"/>
                    <pic:cNvPicPr/>
                  </pic:nvPicPr>
                  <pic:blipFill>
                    <a:blip r:embed="rId29"/>
                    <a:stretch>
                      <a:fillRect/>
                    </a:stretch>
                  </pic:blipFill>
                  <pic:spPr>
                    <a:xfrm>
                      <a:off x="0" y="0"/>
                      <a:ext cx="162306" cy="87630"/>
                    </a:xfrm>
                    <a:prstGeom prst="rect">
                      <a:avLst/>
                    </a:prstGeom>
                  </pic:spPr>
                </pic:pic>
              </a:graphicData>
            </a:graphic>
          </wp:inline>
        </w:drawing>
      </w:r>
      <w:r>
        <w:rPr>
          <w:rFonts w:ascii="Arial" w:eastAsia="Arial" w:hAnsi="Arial" w:cs="Arial"/>
        </w:rPr>
        <w:t xml:space="preserve"> </w:t>
      </w:r>
      <w:r>
        <w:t xml:space="preserve">Veškeré Objednatelem poskytnuté informace, které Objednatel označí za důvěrné, bude </w:t>
      </w:r>
      <w:proofErr w:type="spellStart"/>
      <w:r>
        <w:t>Deloitte</w:t>
      </w:r>
      <w:proofErr w:type="spellEnd"/>
      <w:r>
        <w:t xml:space="preserve"> </w:t>
      </w:r>
      <w:proofErr w:type="spellStart"/>
      <w:r>
        <w:t>Legal</w:t>
      </w:r>
      <w:proofErr w:type="spellEnd"/>
      <w:r>
        <w:t xml:space="preserve"> vždy uchovávat v tajnosti a zajistí, aby její zaměstnanci či spolupracující osoby činily taktéž, pokud Objednatel nebo příslušné právní předpisy nestanoví jinak. Povinnost mlčenlivosti se při zachování souladu s předpisy upravujícími poskytování právních služeb nebude vztahovat na informace, které se staly obecně známými, které </w:t>
      </w:r>
      <w:proofErr w:type="spellStart"/>
      <w:r>
        <w:t>Deloitte</w:t>
      </w:r>
      <w:proofErr w:type="spellEnd"/>
      <w:r>
        <w:t xml:space="preserve"> </w:t>
      </w:r>
      <w:proofErr w:type="spellStart"/>
      <w:r>
        <w:t>Legal</w:t>
      </w:r>
      <w:proofErr w:type="spellEnd"/>
      <w:r>
        <w:t xml:space="preserve"> sama vytvořila bez ohledu na Objednatelem poskytnuté informace, na informace sdělené třetí stranou, jež nemá povinnost mlčenlivosti ohledně takových informací a informace, které je </w:t>
      </w:r>
      <w:proofErr w:type="spellStart"/>
      <w:r>
        <w:t>Deloitte</w:t>
      </w:r>
      <w:proofErr w:type="spellEnd"/>
      <w:r>
        <w:t xml:space="preserve"> </w:t>
      </w:r>
      <w:proofErr w:type="spellStart"/>
      <w:r>
        <w:t>Legal</w:t>
      </w:r>
      <w:proofErr w:type="spellEnd"/>
      <w:r>
        <w:t xml:space="preserve"> v souladu s platnými právními předpisy povinna poskytnout státním či správním orgánům. V souladu s případným požadavkem Objednatele bude součástí nebo přílohou daňových dokladů </w:t>
      </w:r>
      <w:proofErr w:type="spellStart"/>
      <w:r>
        <w:t>Deloitte</w:t>
      </w:r>
      <w:proofErr w:type="spellEnd"/>
      <w:r>
        <w:t xml:space="preserve"> </w:t>
      </w:r>
      <w:proofErr w:type="spellStart"/>
      <w:r>
        <w:t>Legal</w:t>
      </w:r>
      <w:proofErr w:type="spellEnd"/>
      <w:r>
        <w:t xml:space="preserve"> popis poskytnutých právních služeb odpovídající fakturované odměně. Objednatel souhlasí s tím, že získané informace mohou být sdíleny s jinými odbornými poradci Objednatele spolupracujícími na řešení předmětné záležitosti a též s členy </w:t>
      </w:r>
      <w:proofErr w:type="spellStart"/>
      <w:r>
        <w:t>Deloitte</w:t>
      </w:r>
      <w:proofErr w:type="spellEnd"/>
      <w:r>
        <w:t xml:space="preserve">, pokud je to nutné v souvislosti s poskytnutím právních služeb, případně s dalšími osobami určenými Objednatelem. Objednatel rovněž souhlasí s uvedením krátkého popisu služeb poskytnutých na základě této smlouvy společně s obchodní firmou Objednatele a jeho logem jako referenci prokazující praxi </w:t>
      </w:r>
      <w:proofErr w:type="spellStart"/>
      <w:r>
        <w:t>Deloitte</w:t>
      </w:r>
      <w:proofErr w:type="spellEnd"/>
      <w:r>
        <w:t xml:space="preserve"> </w:t>
      </w:r>
      <w:proofErr w:type="spellStart"/>
      <w:r>
        <w:t>Legal</w:t>
      </w:r>
      <w:proofErr w:type="spellEnd"/>
      <w:r>
        <w:t xml:space="preserve">. Rovněž může </w:t>
      </w:r>
      <w:proofErr w:type="spellStart"/>
      <w:r>
        <w:t>Deloitte</w:t>
      </w:r>
      <w:proofErr w:type="spellEnd"/>
      <w:r>
        <w:t xml:space="preserve"> </w:t>
      </w:r>
      <w:proofErr w:type="spellStart"/>
      <w:r>
        <w:t>Legal</w:t>
      </w:r>
      <w:proofErr w:type="spellEnd"/>
      <w:r>
        <w:t xml:space="preserve"> požádat Objednatele o poskytnutí specifického písemného souhlasu ohledně poskytnutých služeb. </w:t>
      </w:r>
    </w:p>
    <w:p w:rsidR="00A618E6" w:rsidRDefault="00FB3BD4">
      <w:pPr>
        <w:tabs>
          <w:tab w:val="center" w:pos="1770"/>
        </w:tabs>
        <w:ind w:left="0" w:right="0" w:firstLine="0"/>
        <w:jc w:val="left"/>
      </w:pPr>
      <w:r>
        <w:rPr>
          <w:noProof/>
        </w:rPr>
        <w:drawing>
          <wp:inline distT="0" distB="0" distL="0" distR="0">
            <wp:extent cx="166878" cy="89154"/>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30"/>
                    <a:stretch>
                      <a:fillRect/>
                    </a:stretch>
                  </pic:blipFill>
                  <pic:spPr>
                    <a:xfrm>
                      <a:off x="0" y="0"/>
                      <a:ext cx="166878" cy="8915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Ochrana Osobních údajů </w:t>
      </w:r>
    </w:p>
    <w:p w:rsidR="00A618E6" w:rsidRDefault="00FB3BD4">
      <w:pPr>
        <w:tabs>
          <w:tab w:val="center" w:pos="1136"/>
        </w:tabs>
        <w:spacing w:after="7"/>
        <w:ind w:left="0" w:right="0" w:firstLine="0"/>
        <w:jc w:val="left"/>
      </w:pPr>
      <w:r>
        <w:t>5.2.1</w:t>
      </w:r>
      <w:r>
        <w:rPr>
          <w:rFonts w:ascii="Arial" w:eastAsia="Arial" w:hAnsi="Arial" w:cs="Arial"/>
        </w:rPr>
        <w:t xml:space="preserve"> </w:t>
      </w:r>
      <w:r>
        <w:rPr>
          <w:rFonts w:ascii="Arial" w:eastAsia="Arial" w:hAnsi="Arial" w:cs="Arial"/>
        </w:rPr>
        <w:tab/>
      </w:r>
      <w:r>
        <w:t xml:space="preserve">Definice </w:t>
      </w:r>
    </w:p>
    <w:p w:rsidR="00A618E6" w:rsidRDefault="00FB3BD4">
      <w:pPr>
        <w:spacing w:after="0"/>
        <w:ind w:left="716" w:right="199"/>
      </w:pPr>
      <w:r>
        <w:t xml:space="preserve">  „</w:t>
      </w:r>
      <w:r>
        <w:rPr>
          <w:b/>
        </w:rPr>
        <w:t>Správce</w:t>
      </w:r>
      <w:r>
        <w:t xml:space="preserve">“ označuje správce nebo správce údajů (jak je definován Právními předpisy v oblasti ochrany osobních údajů).  </w:t>
      </w:r>
    </w:p>
    <w:p w:rsidR="00A618E6" w:rsidRDefault="00FB3BD4">
      <w:pPr>
        <w:ind w:left="716" w:right="199"/>
      </w:pPr>
      <w:r>
        <w:t xml:space="preserve"> „</w:t>
      </w:r>
      <w:r>
        <w:rPr>
          <w:b/>
        </w:rPr>
        <w:t>Právní předpisy v oblasti ochrany osobních údajů</w:t>
      </w:r>
      <w:r>
        <w:t xml:space="preserve">“ označuje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rsidR="00A618E6" w:rsidRDefault="00FB3BD4">
      <w:pPr>
        <w:spacing w:after="2"/>
        <w:ind w:left="716" w:right="199"/>
      </w:pPr>
      <w:r>
        <w:t xml:space="preserve"> „</w:t>
      </w:r>
      <w:r>
        <w:rPr>
          <w:b/>
        </w:rPr>
        <w:t>Osobní údaje</w:t>
      </w:r>
      <w:r>
        <w:t xml:space="preserve">“ označují jakékoliv osobní údaje (jak jsou definovány Právními předpisy v oblasti ochrany osobních údajů), kterou jsou zpracovávány v rámci poskytování služeb nebo v souvislosti s poskytováním služeb.  </w:t>
      </w:r>
    </w:p>
    <w:p w:rsidR="00A618E6" w:rsidRDefault="00FB3BD4">
      <w:pPr>
        <w:spacing w:after="0"/>
        <w:ind w:left="716" w:right="199"/>
      </w:pPr>
      <w:r>
        <w:t xml:space="preserve"> </w:t>
      </w:r>
      <w:r>
        <w:tab/>
        <w:t>„</w:t>
      </w:r>
      <w:r>
        <w:rPr>
          <w:b/>
        </w:rPr>
        <w:t>Zpracovatel</w:t>
      </w:r>
      <w:r>
        <w:t xml:space="preserve">“ označuje zpracovatele údajů nebo zpracovatele (jak je definován Právními předpisy v oblasti ochrany osobních údajů). </w:t>
      </w:r>
    </w:p>
    <w:p w:rsidR="00A618E6" w:rsidRDefault="00FB3BD4">
      <w:pPr>
        <w:ind w:left="716" w:right="199"/>
      </w:pPr>
      <w:r>
        <w:t xml:space="preserve"> „</w:t>
      </w:r>
      <w:r>
        <w:rPr>
          <w:b/>
        </w:rPr>
        <w:t>Příjemce</w:t>
      </w:r>
      <w:r>
        <w:t xml:space="preserve">“ označuje fyzickou nebo právnickou osobu, orgán veřejné moci, agenturu nebo jiný subjekt, jemuž jsou osobní údaje poskytnuty (jak je dále definován Právními předpisy v oblasti ochrany osobních údajů). </w:t>
      </w:r>
    </w:p>
    <w:p w:rsidR="00A618E6" w:rsidRDefault="00FB3BD4">
      <w:pPr>
        <w:tabs>
          <w:tab w:val="center" w:pos="2493"/>
        </w:tabs>
        <w:ind w:left="0" w:right="0" w:firstLine="0"/>
        <w:jc w:val="left"/>
      </w:pPr>
      <w:r>
        <w:t>5.2.2</w:t>
      </w:r>
      <w:r>
        <w:rPr>
          <w:rFonts w:ascii="Arial" w:eastAsia="Arial" w:hAnsi="Arial" w:cs="Arial"/>
        </w:rPr>
        <w:t xml:space="preserve"> </w:t>
      </w:r>
      <w:r>
        <w:rPr>
          <w:rFonts w:ascii="Arial" w:eastAsia="Arial" w:hAnsi="Arial" w:cs="Arial"/>
        </w:rPr>
        <w:tab/>
      </w:r>
      <w:r>
        <w:t xml:space="preserve">Informace o zpracování Osobních údajů </w:t>
      </w:r>
    </w:p>
    <w:p w:rsidR="00A618E6" w:rsidRDefault="00FB3BD4">
      <w:pPr>
        <w:numPr>
          <w:ilvl w:val="0"/>
          <w:numId w:val="5"/>
        </w:numPr>
        <w:spacing w:after="0"/>
        <w:ind w:left="716" w:right="199"/>
      </w:pPr>
      <w:r>
        <w:t xml:space="preserve">Smluvní strany berou na vědomí, že Osobní údaje poskytnuté Objednatelem, jeho personálem či zástupci budou zpracovány společností </w:t>
      </w:r>
      <w:proofErr w:type="spellStart"/>
      <w:r>
        <w:t>Deloitte</w:t>
      </w:r>
      <w:proofErr w:type="spellEnd"/>
      <w:r>
        <w:t xml:space="preserve"> </w:t>
      </w:r>
      <w:proofErr w:type="spellStart"/>
      <w:r>
        <w:t>Legal</w:t>
      </w:r>
      <w:proofErr w:type="spellEnd"/>
      <w:r>
        <w:t xml:space="preserve"> jakožto Správcem pro následující účely, resp. v souvislosti s následujícím: (i) poskytnutí služeb; (</w:t>
      </w:r>
      <w:proofErr w:type="spellStart"/>
      <w:r>
        <w:t>ii</w:t>
      </w:r>
      <w:proofErr w:type="spellEnd"/>
      <w:r>
        <w:t>) zajištění souladu s příslušnými právními, regulatorními nebo profesními požadavky; (</w:t>
      </w:r>
      <w:proofErr w:type="spellStart"/>
      <w:r>
        <w:t>iii</w:t>
      </w:r>
      <w:proofErr w:type="spellEnd"/>
      <w:r>
        <w:t>) řešení požadavků nebo komunikací od příslušných orgánů; (</w:t>
      </w:r>
      <w:proofErr w:type="spellStart"/>
      <w:r>
        <w:t>iv</w:t>
      </w:r>
      <w:proofErr w:type="spellEnd"/>
      <w:r>
        <w:t>) administrace smluv, finanční účetnictví, soulad s interními předpisy, analýza rizik, a vztahy s klienty; (v) využití systémů a aplikací (hostovaných nebo interních) pro služby informačních technologií a informačních systémů (dále jen „</w:t>
      </w:r>
      <w:r>
        <w:rPr>
          <w:b/>
        </w:rPr>
        <w:t>Účely</w:t>
      </w:r>
      <w:r>
        <w:t xml:space="preserve">“). </w:t>
      </w:r>
    </w:p>
    <w:p w:rsidR="00A618E6" w:rsidRDefault="00FB3BD4">
      <w:pPr>
        <w:ind w:left="716" w:right="199"/>
      </w:pPr>
      <w:r>
        <w:t xml:space="preserve"> Pro výše uvedené Účely mohou být Osobní údaje zpřístupněny/předány Příjemcům Osobních údajů (včetně Správců a Zpracovatelů osobních údajů), a mohou být těmito Příjemci zpracovány, jak je uvedeno v Prohlášení </w:t>
      </w:r>
      <w:proofErr w:type="spellStart"/>
      <w:r>
        <w:t>Deloitte</w:t>
      </w:r>
      <w:proofErr w:type="spellEnd"/>
      <w:r>
        <w:t xml:space="preserve"> o ochraně osobních údajů. </w:t>
      </w:r>
    </w:p>
    <w:p w:rsidR="00A618E6" w:rsidRDefault="00FB3BD4">
      <w:pPr>
        <w:numPr>
          <w:ilvl w:val="0"/>
          <w:numId w:val="5"/>
        </w:numPr>
        <w:ind w:left="716" w:right="199"/>
      </w:pPr>
      <w:r>
        <w:t xml:space="preserve">Odstavec 5.2.2 a) je jen shrnutím Prohlášení </w:t>
      </w:r>
      <w:proofErr w:type="spellStart"/>
      <w:r>
        <w:t>Deloitte</w:t>
      </w:r>
      <w:proofErr w:type="spellEnd"/>
      <w:r>
        <w:t xml:space="preserve"> o ochraně osobních údajů, jehož celé znění je k dispozici zde: https://www2.deloitte.com/ce/en/pages/about-deloitte/articles/deloitte-ce-privacystatement-for-clients.html („</w:t>
      </w:r>
      <w:r>
        <w:rPr>
          <w:b/>
        </w:rPr>
        <w:t xml:space="preserve">Prohlášení </w:t>
      </w:r>
      <w:proofErr w:type="spellStart"/>
      <w:r>
        <w:rPr>
          <w:b/>
        </w:rPr>
        <w:t>Deloitte</w:t>
      </w:r>
      <w:proofErr w:type="spellEnd"/>
      <w:r>
        <w:rPr>
          <w:b/>
        </w:rPr>
        <w:t xml:space="preserve"> o ochraně osobních údajů</w:t>
      </w:r>
      <w:r>
        <w:t xml:space="preserve">“). Jestliže to nevyžaduje nepřiměřené úsilí, Objednatel zajistí, aby byly subjekty údajů (jeho příslušní zaměstnanci, zástupci, dodavatelé a klienti) informovány o Prohlášení </w:t>
      </w:r>
      <w:proofErr w:type="spellStart"/>
      <w:r>
        <w:t>Deloitte</w:t>
      </w:r>
      <w:proofErr w:type="spellEnd"/>
      <w:r>
        <w:t xml:space="preserve"> o ochraně osobních údajů.  </w:t>
      </w:r>
    </w:p>
    <w:p w:rsidR="00A618E6" w:rsidRDefault="00FB3BD4">
      <w:pPr>
        <w:numPr>
          <w:ilvl w:val="0"/>
          <w:numId w:val="5"/>
        </w:numPr>
        <w:ind w:left="716" w:right="199"/>
      </w:pPr>
      <w:r>
        <w:t xml:space="preserve">Uchovávání údajů: dokumentace související se zakázkou, včetně Osobních údajů, bude uchovávána po dobu 10 let od ukončení smluvního vztahu či po dobu, kterou vyžadují příslušné právní předpisy proti legalizaci výnosů z trestné činnosti či jakékoliv jiné platné zákony a právní předpisy.  </w:t>
      </w:r>
    </w:p>
    <w:p w:rsidR="00A618E6" w:rsidRDefault="00FB3BD4">
      <w:pPr>
        <w:numPr>
          <w:ilvl w:val="0"/>
          <w:numId w:val="5"/>
        </w:numPr>
        <w:ind w:left="716" w:right="199"/>
      </w:pPr>
      <w:r>
        <w:t xml:space="preserve">Každá Smluvní strana musí při zpracování Osobních údajů dodržovat Právní předpisy v oblasti ochrany osobních údajů.  </w:t>
      </w:r>
    </w:p>
    <w:p w:rsidR="00A618E6" w:rsidRDefault="00FB3BD4">
      <w:pPr>
        <w:spacing w:after="376"/>
        <w:ind w:left="716" w:right="199"/>
      </w:pPr>
      <w:r>
        <w:rPr>
          <w:noProof/>
        </w:rPr>
        <w:lastRenderedPageBreak/>
        <w:drawing>
          <wp:inline distT="0" distB="0" distL="0" distR="0">
            <wp:extent cx="165354" cy="89154"/>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31"/>
                    <a:stretch>
                      <a:fillRect/>
                    </a:stretch>
                  </pic:blipFill>
                  <pic:spPr>
                    <a:xfrm>
                      <a:off x="0" y="0"/>
                      <a:ext cx="165354" cy="89154"/>
                    </a:xfrm>
                    <a:prstGeom prst="rect">
                      <a:avLst/>
                    </a:prstGeom>
                  </pic:spPr>
                </pic:pic>
              </a:graphicData>
            </a:graphic>
          </wp:inline>
        </w:drawing>
      </w:r>
      <w:r>
        <w:rPr>
          <w:rFonts w:ascii="Arial" w:eastAsia="Arial" w:hAnsi="Arial" w:cs="Arial"/>
        </w:rPr>
        <w:t xml:space="preserve"> </w:t>
      </w:r>
      <w:r>
        <w:t xml:space="preserve">Služby </w:t>
      </w:r>
      <w:proofErr w:type="spellStart"/>
      <w:r>
        <w:t>Deloitte</w:t>
      </w:r>
      <w:proofErr w:type="spellEnd"/>
      <w:r>
        <w:t xml:space="preserve"> </w:t>
      </w:r>
      <w:proofErr w:type="spellStart"/>
      <w:r>
        <w:t>Legal</w:t>
      </w:r>
      <w:proofErr w:type="spellEnd"/>
      <w:r>
        <w:t xml:space="preserve"> budou určeny pouze Objednateli a příslušné výstupy nesmí být poskytnuty jiné osobě bez výslovného souhlasu </w:t>
      </w:r>
      <w:proofErr w:type="spellStart"/>
      <w:r>
        <w:t>Deloitte</w:t>
      </w:r>
      <w:proofErr w:type="spellEnd"/>
      <w:r>
        <w:t xml:space="preserve"> </w:t>
      </w:r>
      <w:proofErr w:type="spellStart"/>
      <w:r>
        <w:t>Legal</w:t>
      </w:r>
      <w:proofErr w:type="spellEnd"/>
      <w:r>
        <w:t xml:space="preserve">; toto nemá vliv na případné plnění zákonné povinnosti </w:t>
      </w:r>
      <w:proofErr w:type="gramStart"/>
      <w:r>
        <w:t>Objednatele</w:t>
      </w:r>
      <w:proofErr w:type="gramEnd"/>
      <w:r>
        <w:t xml:space="preserve"> popř. jeho jiných poradců zpřístupnit výstupy právních služeb </w:t>
      </w:r>
      <w:proofErr w:type="spellStart"/>
      <w:r>
        <w:t>Deloitte</w:t>
      </w:r>
      <w:proofErr w:type="spellEnd"/>
      <w:r>
        <w:t xml:space="preserve"> </w:t>
      </w:r>
      <w:proofErr w:type="spellStart"/>
      <w:r>
        <w:t>Legal</w:t>
      </w:r>
      <w:proofErr w:type="spellEnd"/>
      <w:r>
        <w:t xml:space="preserve"> či informace o nich jiné straně, zejména příslušným správním orgánům. </w:t>
      </w:r>
      <w:proofErr w:type="spellStart"/>
      <w:r>
        <w:t>Deloitte</w:t>
      </w:r>
      <w:proofErr w:type="spellEnd"/>
      <w:r>
        <w:t xml:space="preserve"> </w:t>
      </w:r>
      <w:proofErr w:type="spellStart"/>
      <w:r>
        <w:t>Legal</w:t>
      </w:r>
      <w:proofErr w:type="spellEnd"/>
      <w:r>
        <w:t xml:space="preserve"> neponese odpovědnost za použití či spoléhání se na výstupy použité jakoukoli jinou stranou či pro jakýkoli jiný účel, než bylo </w:t>
      </w:r>
      <w:proofErr w:type="spellStart"/>
      <w:r>
        <w:t>Deloitte</w:t>
      </w:r>
      <w:proofErr w:type="spellEnd"/>
      <w:r>
        <w:t xml:space="preserve"> </w:t>
      </w:r>
      <w:proofErr w:type="spellStart"/>
      <w:r>
        <w:t>Legal</w:t>
      </w:r>
      <w:proofErr w:type="spellEnd"/>
      <w:r>
        <w:t xml:space="preserve"> výslovně schváleno.</w:t>
      </w:r>
      <w:r>
        <w:rPr>
          <w:i/>
        </w:rPr>
        <w:t xml:space="preserve"> </w:t>
      </w:r>
      <w:r>
        <w:t xml:space="preserve">Citování, odkazy či rozšiřování výstupů není možné bez předchozího písemného souhlasu </w:t>
      </w:r>
      <w:proofErr w:type="spellStart"/>
      <w:r>
        <w:t>Deloitte</w:t>
      </w:r>
      <w:proofErr w:type="spellEnd"/>
      <w:r>
        <w:t xml:space="preserve"> </w:t>
      </w:r>
      <w:proofErr w:type="spellStart"/>
      <w:r>
        <w:t>Legal</w:t>
      </w:r>
      <w:proofErr w:type="spellEnd"/>
      <w:r>
        <w:t xml:space="preserve"> a podepsání dopisu o vyloučení odpovědnosti (tzv. „hold </w:t>
      </w:r>
      <w:proofErr w:type="spellStart"/>
      <w:r>
        <w:t>harmless</w:t>
      </w:r>
      <w:proofErr w:type="spellEnd"/>
      <w:r>
        <w:t xml:space="preserve"> </w:t>
      </w:r>
      <w:proofErr w:type="spellStart"/>
      <w:r>
        <w:t>letter</w:t>
      </w:r>
      <w:proofErr w:type="spellEnd"/>
      <w:r>
        <w:t xml:space="preserve">“) příjemcem výstupů. Je pouze odpovědností Objednatele obdržet podepsanou kopii „hold </w:t>
      </w:r>
      <w:proofErr w:type="spellStart"/>
      <w:r>
        <w:t>harmless</w:t>
      </w:r>
      <w:proofErr w:type="spellEnd"/>
      <w:r>
        <w:t xml:space="preserve"> </w:t>
      </w:r>
      <w:proofErr w:type="spellStart"/>
      <w:r>
        <w:t>letter</w:t>
      </w:r>
      <w:proofErr w:type="spellEnd"/>
      <w:r>
        <w:t xml:space="preserve">“ předtím, než poskytne výstupy jakékoliv třetí osobě. V případech, kdy byly výstupy </w:t>
      </w:r>
      <w:proofErr w:type="spellStart"/>
      <w:r>
        <w:t>Deloitte</w:t>
      </w:r>
      <w:proofErr w:type="spellEnd"/>
      <w:r>
        <w:t xml:space="preserve"> </w:t>
      </w:r>
      <w:proofErr w:type="spellStart"/>
      <w:proofErr w:type="gramStart"/>
      <w:r>
        <w:t>Legal</w:t>
      </w:r>
      <w:proofErr w:type="spellEnd"/>
      <w:r>
        <w:t xml:space="preserve">  poskytnuty</w:t>
      </w:r>
      <w:proofErr w:type="gramEnd"/>
      <w:r>
        <w:t xml:space="preserve"> třetím stranám bez „hold </w:t>
      </w:r>
      <w:proofErr w:type="spellStart"/>
      <w:r>
        <w:t>harmless</w:t>
      </w:r>
      <w:proofErr w:type="spellEnd"/>
      <w:r>
        <w:t xml:space="preserve"> </w:t>
      </w:r>
      <w:proofErr w:type="spellStart"/>
      <w:r>
        <w:t>letter</w:t>
      </w:r>
      <w:proofErr w:type="spellEnd"/>
      <w:r>
        <w:t xml:space="preserve">“, zavazuje se Objednatel odškodnit </w:t>
      </w:r>
      <w:proofErr w:type="spellStart"/>
      <w:r>
        <w:t>Deloitte</w:t>
      </w:r>
      <w:proofErr w:type="spellEnd"/>
      <w:r>
        <w:t xml:space="preserve"> </w:t>
      </w:r>
      <w:proofErr w:type="spellStart"/>
      <w:r>
        <w:t>Legal</w:t>
      </w:r>
      <w:proofErr w:type="spellEnd"/>
      <w:r>
        <w:t xml:space="preserve">  a členy </w:t>
      </w:r>
      <w:proofErr w:type="spellStart"/>
      <w:r>
        <w:t>Deloitte</w:t>
      </w:r>
      <w:proofErr w:type="spellEnd"/>
      <w:r>
        <w:t xml:space="preserve"> za jakékoli nároky vznesené třetími stranami na základě poskytnutí výstupů. V každém případě musí být výstupy </w:t>
      </w:r>
      <w:proofErr w:type="spellStart"/>
      <w:r>
        <w:t>Deloitte</w:t>
      </w:r>
      <w:proofErr w:type="spellEnd"/>
      <w:r>
        <w:t xml:space="preserve"> </w:t>
      </w:r>
      <w:proofErr w:type="spellStart"/>
      <w:proofErr w:type="gramStart"/>
      <w:r>
        <w:t>Legal</w:t>
      </w:r>
      <w:proofErr w:type="spellEnd"/>
      <w:r>
        <w:t xml:space="preserve">  reprodukovány</w:t>
      </w:r>
      <w:proofErr w:type="gramEnd"/>
      <w:r>
        <w:t xml:space="preserve"> v úplné podobě včetně všech omezení odpovědnosti. </w:t>
      </w:r>
    </w:p>
    <w:p w:rsidR="00A618E6" w:rsidRDefault="00FB3BD4">
      <w:pPr>
        <w:pStyle w:val="Nadpis2"/>
        <w:tabs>
          <w:tab w:val="center" w:pos="1218"/>
        </w:tabs>
        <w:ind w:left="-10" w:firstLine="0"/>
        <w:jc w:val="left"/>
      </w:pPr>
      <w:r>
        <w:rPr>
          <w:noProof/>
        </w:rPr>
        <w:drawing>
          <wp:inline distT="0" distB="0" distL="0" distR="0">
            <wp:extent cx="177546" cy="84582"/>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32"/>
                    <a:stretch>
                      <a:fillRect/>
                    </a:stretch>
                  </pic:blipFill>
                  <pic:spPr>
                    <a:xfrm>
                      <a:off x="0" y="0"/>
                      <a:ext cx="177546"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STŘET ZÁJMŮ </w:t>
      </w:r>
    </w:p>
    <w:p w:rsidR="00A618E6" w:rsidRDefault="00FB3BD4">
      <w:pPr>
        <w:ind w:left="716" w:right="199"/>
      </w:pPr>
      <w:r>
        <w:rPr>
          <w:noProof/>
        </w:rPr>
        <w:drawing>
          <wp:inline distT="0" distB="0" distL="0" distR="0">
            <wp:extent cx="165354" cy="89154"/>
            <wp:effectExtent l="0" t="0" r="0" b="0"/>
            <wp:docPr id="2475" name="Picture 2475"/>
            <wp:cNvGraphicFramePr/>
            <a:graphic xmlns:a="http://schemas.openxmlformats.org/drawingml/2006/main">
              <a:graphicData uri="http://schemas.openxmlformats.org/drawingml/2006/picture">
                <pic:pic xmlns:pic="http://schemas.openxmlformats.org/drawingml/2006/picture">
                  <pic:nvPicPr>
                    <pic:cNvPr id="2475" name="Picture 2475"/>
                    <pic:cNvPicPr/>
                  </pic:nvPicPr>
                  <pic:blipFill>
                    <a:blip r:embed="rId33"/>
                    <a:stretch>
                      <a:fillRect/>
                    </a:stretch>
                  </pic:blipFill>
                  <pic:spPr>
                    <a:xfrm>
                      <a:off x="0" y="0"/>
                      <a:ext cx="165354" cy="89154"/>
                    </a:xfrm>
                    <a:prstGeom prst="rect">
                      <a:avLst/>
                    </a:prstGeom>
                  </pic:spPr>
                </pic:pic>
              </a:graphicData>
            </a:graphic>
          </wp:inline>
        </w:drawing>
      </w:r>
      <w:r>
        <w:rPr>
          <w:rFonts w:ascii="Arial" w:eastAsia="Arial" w:hAnsi="Arial" w:cs="Arial"/>
        </w:rPr>
        <w:t xml:space="preserve"> </w:t>
      </w:r>
      <w:r>
        <w:t xml:space="preserve">I přes striktní dodržování právních předpisů a interních postupů ohledně střetu zájmů nelze plně zaručit, že </w:t>
      </w:r>
      <w:proofErr w:type="spellStart"/>
      <w:r>
        <w:t>Deloitte</w:t>
      </w:r>
      <w:proofErr w:type="spellEnd"/>
      <w:r>
        <w:t xml:space="preserve"> </w:t>
      </w:r>
      <w:proofErr w:type="spellStart"/>
      <w:r>
        <w:t>Legal</w:t>
      </w:r>
      <w:proofErr w:type="spellEnd"/>
      <w:r>
        <w:t xml:space="preserve"> předem identifikuje všechny případy potenciálního střetu zájmů, zejména pak v situacích, kdy není zcela zřejmé, co konkrétně je ze strany daného klienta za střet zájmů považováno. Pokud Objednateli jsou či budou známy okolnosti, které mohou v souvislosti s poskytováním služeb </w:t>
      </w:r>
      <w:proofErr w:type="spellStart"/>
      <w:r>
        <w:t>Deloitte</w:t>
      </w:r>
      <w:proofErr w:type="spellEnd"/>
      <w:r>
        <w:t xml:space="preserve"> </w:t>
      </w:r>
      <w:proofErr w:type="spellStart"/>
      <w:r>
        <w:t>Legal</w:t>
      </w:r>
      <w:proofErr w:type="spellEnd"/>
      <w:r>
        <w:t xml:space="preserve"> vést ke střetu zájmů, je Objednatel</w:t>
      </w:r>
      <w:r>
        <w:rPr>
          <w:i/>
        </w:rPr>
        <w:t xml:space="preserve"> </w:t>
      </w:r>
      <w:r>
        <w:t xml:space="preserve">povinen o nich neprodleně informovat </w:t>
      </w:r>
      <w:proofErr w:type="spellStart"/>
      <w:r>
        <w:t>Deloitte</w:t>
      </w:r>
      <w:proofErr w:type="spellEnd"/>
      <w:r>
        <w:t xml:space="preserve"> </w:t>
      </w:r>
      <w:proofErr w:type="spellStart"/>
      <w:r>
        <w:t>Legal</w:t>
      </w:r>
      <w:proofErr w:type="spellEnd"/>
      <w:r>
        <w:t xml:space="preserve">. V případě, že taková situace nastane, projedná </w:t>
      </w:r>
      <w:proofErr w:type="spellStart"/>
      <w:r>
        <w:t>Deloitte</w:t>
      </w:r>
      <w:proofErr w:type="spellEnd"/>
      <w:r>
        <w:t xml:space="preserve"> </w:t>
      </w:r>
      <w:proofErr w:type="spellStart"/>
      <w:r>
        <w:t>Legal</w:t>
      </w:r>
      <w:proofErr w:type="spellEnd"/>
      <w:r>
        <w:t xml:space="preserve"> s Objednatelem stav a dosavadní vývoj záležitostí a dohodne další vhodný postup. Za určitých okolností může dojít k tomu, že s ohledem na ochranu zájmů Objednatele bude </w:t>
      </w:r>
      <w:proofErr w:type="spellStart"/>
      <w:r>
        <w:t>Deloitte</w:t>
      </w:r>
      <w:proofErr w:type="spellEnd"/>
      <w:r>
        <w:t xml:space="preserve"> </w:t>
      </w:r>
      <w:proofErr w:type="spellStart"/>
      <w:r>
        <w:t>Legal</w:t>
      </w:r>
      <w:proofErr w:type="spellEnd"/>
      <w:r>
        <w:t xml:space="preserve"> nucena ukončit poskytování služeb Objednateli.  </w:t>
      </w:r>
    </w:p>
    <w:p w:rsidR="00A618E6" w:rsidRDefault="00FB3BD4">
      <w:pPr>
        <w:spacing w:after="376"/>
        <w:ind w:left="716" w:right="199"/>
      </w:pPr>
      <w:r>
        <w:rPr>
          <w:noProof/>
        </w:rPr>
        <w:drawing>
          <wp:inline distT="0" distB="0" distL="0" distR="0">
            <wp:extent cx="169926" cy="89154"/>
            <wp:effectExtent l="0" t="0" r="0" b="0"/>
            <wp:docPr id="2510" name="Picture 2510"/>
            <wp:cNvGraphicFramePr/>
            <a:graphic xmlns:a="http://schemas.openxmlformats.org/drawingml/2006/main">
              <a:graphicData uri="http://schemas.openxmlformats.org/drawingml/2006/picture">
                <pic:pic xmlns:pic="http://schemas.openxmlformats.org/drawingml/2006/picture">
                  <pic:nvPicPr>
                    <pic:cNvPr id="2510" name="Picture 2510"/>
                    <pic:cNvPicPr/>
                  </pic:nvPicPr>
                  <pic:blipFill>
                    <a:blip r:embed="rId34"/>
                    <a:stretch>
                      <a:fillRect/>
                    </a:stretch>
                  </pic:blipFill>
                  <pic:spPr>
                    <a:xfrm>
                      <a:off x="0" y="0"/>
                      <a:ext cx="169926" cy="89154"/>
                    </a:xfrm>
                    <a:prstGeom prst="rect">
                      <a:avLst/>
                    </a:prstGeom>
                  </pic:spPr>
                </pic:pic>
              </a:graphicData>
            </a:graphic>
          </wp:inline>
        </w:drawing>
      </w:r>
      <w:r>
        <w:rPr>
          <w:rFonts w:ascii="Arial" w:eastAsia="Arial" w:hAnsi="Arial" w:cs="Arial"/>
        </w:rPr>
        <w:t xml:space="preserve"> </w:t>
      </w:r>
      <w:r>
        <w:t xml:space="preserve">Na základě předpisů ohledně nezávislosti auditora může dojít k situaci, kdy Objednatel nebude moci využívat služeb </w:t>
      </w:r>
      <w:proofErr w:type="spellStart"/>
      <w:r>
        <w:t>Deloitte</w:t>
      </w:r>
      <w:proofErr w:type="spellEnd"/>
      <w:r>
        <w:t xml:space="preserve"> </w:t>
      </w:r>
      <w:proofErr w:type="spellStart"/>
      <w:r>
        <w:t>Legal</w:t>
      </w:r>
      <w:proofErr w:type="spellEnd"/>
      <w:r>
        <w:t xml:space="preserve"> jakožto služeb poskytovaných advokátní kanceláří přidruženou k </w:t>
      </w:r>
      <w:proofErr w:type="spellStart"/>
      <w:r>
        <w:t>Deloitte</w:t>
      </w:r>
      <w:proofErr w:type="spellEnd"/>
      <w:r>
        <w:t xml:space="preserve">, popřípadě může být možnost poskytování služeb ze strany </w:t>
      </w:r>
      <w:proofErr w:type="spellStart"/>
      <w:r>
        <w:t>Deloitte</w:t>
      </w:r>
      <w:proofErr w:type="spellEnd"/>
      <w:r>
        <w:t xml:space="preserve"> </w:t>
      </w:r>
      <w:proofErr w:type="spellStart"/>
      <w:r>
        <w:t>Legal</w:t>
      </w:r>
      <w:proofErr w:type="spellEnd"/>
      <w:r>
        <w:t xml:space="preserve"> Objednateli omezena. Pokud takováto situace nastane, je Objednatel povinen o ní </w:t>
      </w:r>
      <w:proofErr w:type="spellStart"/>
      <w:r>
        <w:t>Deloitte</w:t>
      </w:r>
      <w:proofErr w:type="spellEnd"/>
      <w:r>
        <w:t xml:space="preserve"> </w:t>
      </w:r>
      <w:proofErr w:type="spellStart"/>
      <w:r>
        <w:t>Legal</w:t>
      </w:r>
      <w:proofErr w:type="spellEnd"/>
      <w:r>
        <w:t xml:space="preserve"> neprodleně informovat, aby bylo možné společně přijmout vhodná opatření v souladu s příslušnými právními předpisy. </w:t>
      </w:r>
    </w:p>
    <w:p w:rsidR="00A618E6" w:rsidRDefault="00FB3BD4">
      <w:pPr>
        <w:pStyle w:val="Nadpis2"/>
        <w:ind w:left="0" w:right="197"/>
      </w:pPr>
      <w:r>
        <w:rPr>
          <w:noProof/>
        </w:rPr>
        <w:drawing>
          <wp:inline distT="0" distB="0" distL="0" distR="0">
            <wp:extent cx="236982" cy="84582"/>
            <wp:effectExtent l="0" t="0" r="0" b="0"/>
            <wp:docPr id="2546" name="Picture 2546"/>
            <wp:cNvGraphicFramePr/>
            <a:graphic xmlns:a="http://schemas.openxmlformats.org/drawingml/2006/main">
              <a:graphicData uri="http://schemas.openxmlformats.org/drawingml/2006/picture">
                <pic:pic xmlns:pic="http://schemas.openxmlformats.org/drawingml/2006/picture">
                  <pic:nvPicPr>
                    <pic:cNvPr id="2546" name="Picture 2546"/>
                    <pic:cNvPicPr/>
                  </pic:nvPicPr>
                  <pic:blipFill>
                    <a:blip r:embed="rId35"/>
                    <a:stretch>
                      <a:fillRect/>
                    </a:stretch>
                  </pic:blipFill>
                  <pic:spPr>
                    <a:xfrm>
                      <a:off x="0" y="0"/>
                      <a:ext cx="236982" cy="84582"/>
                    </a:xfrm>
                    <a:prstGeom prst="rect">
                      <a:avLst/>
                    </a:prstGeom>
                  </pic:spPr>
                </pic:pic>
              </a:graphicData>
            </a:graphic>
          </wp:inline>
        </w:drawing>
      </w:r>
      <w:r>
        <w:rPr>
          <w:rFonts w:ascii="Arial" w:eastAsia="Arial" w:hAnsi="Arial" w:cs="Arial"/>
        </w:rPr>
        <w:t xml:space="preserve"> </w:t>
      </w:r>
      <w:r>
        <w:t xml:space="preserve">PROFESIONÁLNÍ STANDARDY </w:t>
      </w:r>
    </w:p>
    <w:p w:rsidR="00A618E6" w:rsidRDefault="00FB3BD4">
      <w:pPr>
        <w:ind w:left="716" w:right="199"/>
      </w:pPr>
      <w:r>
        <w:rPr>
          <w:noProof/>
        </w:rPr>
        <w:drawing>
          <wp:inline distT="0" distB="0" distL="0" distR="0">
            <wp:extent cx="163830" cy="86106"/>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36"/>
                    <a:stretch>
                      <a:fillRect/>
                    </a:stretch>
                  </pic:blipFill>
                  <pic:spPr>
                    <a:xfrm>
                      <a:off x="0" y="0"/>
                      <a:ext cx="163830" cy="86106"/>
                    </a:xfrm>
                    <a:prstGeom prst="rect">
                      <a:avLst/>
                    </a:prstGeom>
                  </pic:spPr>
                </pic:pic>
              </a:graphicData>
            </a:graphic>
          </wp:inline>
        </w:drawing>
      </w:r>
      <w:r>
        <w:rPr>
          <w:rFonts w:ascii="Arial" w:eastAsia="Arial" w:hAnsi="Arial" w:cs="Arial"/>
        </w:rPr>
        <w:t xml:space="preserve"> </w:t>
      </w:r>
      <w:r>
        <w:t xml:space="preserve">Právní služby bude </w:t>
      </w:r>
      <w:proofErr w:type="spellStart"/>
      <w:r>
        <w:t>Deloitte</w:t>
      </w:r>
      <w:proofErr w:type="spellEnd"/>
      <w:r>
        <w:t xml:space="preserve"> </w:t>
      </w:r>
      <w:proofErr w:type="spellStart"/>
      <w:r>
        <w:t>Legal</w:t>
      </w:r>
      <w:proofErr w:type="spellEnd"/>
      <w:r>
        <w:t xml:space="preserve"> Objednateli poskytovat v souladu se svým chápáním správného výkladu práva a současné právní praxe. Dle právních předpisů upravujících výkon advokacie není </w:t>
      </w:r>
      <w:proofErr w:type="spellStart"/>
      <w:r>
        <w:t>Deloitte</w:t>
      </w:r>
      <w:proofErr w:type="spellEnd"/>
      <w:r>
        <w:t xml:space="preserve"> </w:t>
      </w:r>
      <w:proofErr w:type="spellStart"/>
      <w:r>
        <w:t>Legal</w:t>
      </w:r>
      <w:proofErr w:type="spellEnd"/>
      <w:r>
        <w:t xml:space="preserve"> oprávněna bez souhlasu Objednatele ověřovat pravdivost nebo úplnost skutkových informací, které Objednatel sdělí </w:t>
      </w:r>
      <w:proofErr w:type="spellStart"/>
      <w:r>
        <w:t>Deloitte</w:t>
      </w:r>
      <w:proofErr w:type="spellEnd"/>
      <w:r>
        <w:t xml:space="preserve"> </w:t>
      </w:r>
      <w:proofErr w:type="spellStart"/>
      <w:r>
        <w:t>Legal</w:t>
      </w:r>
      <w:proofErr w:type="spellEnd"/>
      <w:r>
        <w:t xml:space="preserve"> při poskytování právních služeb, proto bude </w:t>
      </w:r>
      <w:proofErr w:type="spellStart"/>
      <w:r>
        <w:t>Deloitte</w:t>
      </w:r>
      <w:proofErr w:type="spellEnd"/>
      <w:r>
        <w:t xml:space="preserve"> </w:t>
      </w:r>
      <w:proofErr w:type="spellStart"/>
      <w:r>
        <w:t>Legal</w:t>
      </w:r>
      <w:proofErr w:type="spellEnd"/>
      <w:r>
        <w:t xml:space="preserve"> spoléhat na správnost a úplnost informací a dokumentů, které od Objednatele obdrží. Pokud bude </w:t>
      </w:r>
      <w:proofErr w:type="spellStart"/>
      <w:r>
        <w:t>Deloitte</w:t>
      </w:r>
      <w:proofErr w:type="spellEnd"/>
      <w:r>
        <w:t xml:space="preserve"> </w:t>
      </w:r>
      <w:proofErr w:type="spellStart"/>
      <w:r>
        <w:t>Legal</w:t>
      </w:r>
      <w:proofErr w:type="spellEnd"/>
      <w:r>
        <w:t xml:space="preserve"> zastupovat Objednatele v soudním, rozhodčím či správním řízení, má Objednatel povinnost sdělit </w:t>
      </w:r>
      <w:proofErr w:type="spellStart"/>
      <w:r>
        <w:t>Deloitte</w:t>
      </w:r>
      <w:proofErr w:type="spellEnd"/>
      <w:r>
        <w:t xml:space="preserve"> </w:t>
      </w:r>
      <w:proofErr w:type="spellStart"/>
      <w:r>
        <w:t>Legal</w:t>
      </w:r>
      <w:proofErr w:type="spellEnd"/>
      <w:r>
        <w:t xml:space="preserve"> jemu známé informace o možnosti, že by vůči předloženým důkazům mohlo být namítnuto, že jsou padělané anebo pozměněné, a pro takový případ s </w:t>
      </w:r>
      <w:proofErr w:type="spellStart"/>
      <w:r>
        <w:t>Deloitte</w:t>
      </w:r>
      <w:proofErr w:type="spellEnd"/>
      <w:r>
        <w:t xml:space="preserve"> </w:t>
      </w:r>
      <w:proofErr w:type="spellStart"/>
      <w:r>
        <w:t>Legal</w:t>
      </w:r>
      <w:proofErr w:type="spellEnd"/>
      <w:r>
        <w:t xml:space="preserve"> projednat vhodný postup; bez tohoto upozornění </w:t>
      </w:r>
      <w:proofErr w:type="spellStart"/>
      <w:r>
        <w:t>Deloitte</w:t>
      </w:r>
      <w:proofErr w:type="spellEnd"/>
      <w:r>
        <w:t xml:space="preserve"> </w:t>
      </w:r>
      <w:proofErr w:type="spellStart"/>
      <w:r>
        <w:t>Legal</w:t>
      </w:r>
      <w:proofErr w:type="spellEnd"/>
      <w:r>
        <w:t xml:space="preserve"> neodpovídá za věcnou správnost a autentičnost důkazů, které podle pokynů Objednatele předloží. V souladu s doporučením České advokátní komory </w:t>
      </w:r>
      <w:proofErr w:type="spellStart"/>
      <w:r>
        <w:t>Deloitte</w:t>
      </w:r>
      <w:proofErr w:type="spellEnd"/>
      <w:r>
        <w:t xml:space="preserve"> </w:t>
      </w:r>
      <w:proofErr w:type="spellStart"/>
      <w:r>
        <w:t>Legal</w:t>
      </w:r>
      <w:proofErr w:type="spellEnd"/>
      <w:r>
        <w:t xml:space="preserve"> upozorňuje Objednatele, že předložením padělaného nebo pozměněného důkazního prostředku v soudním či obdobném řízení se může dopustit trestného činu maření spravedlnosti.</w:t>
      </w:r>
      <w:r>
        <w:rPr>
          <w:vertAlign w:val="superscript"/>
        </w:rPr>
        <w:footnoteReference w:id="1"/>
      </w:r>
      <w:r>
        <w:t xml:space="preserve"> Objednatel bude odpovídat za oznámení všech změn týkajících se již poskytnutých informací a dokumentů. </w:t>
      </w:r>
    </w:p>
    <w:p w:rsidR="00A618E6" w:rsidRDefault="00FB3BD4">
      <w:pPr>
        <w:spacing w:after="376"/>
        <w:ind w:left="716" w:right="199"/>
      </w:pPr>
      <w:r>
        <w:rPr>
          <w:noProof/>
        </w:rPr>
        <w:drawing>
          <wp:inline distT="0" distB="0" distL="0" distR="0">
            <wp:extent cx="168402" cy="86106"/>
            <wp:effectExtent l="0" t="0" r="0" b="0"/>
            <wp:docPr id="2626" name="Picture 2626"/>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37"/>
                    <a:stretch>
                      <a:fillRect/>
                    </a:stretch>
                  </pic:blipFill>
                  <pic:spPr>
                    <a:xfrm>
                      <a:off x="0" y="0"/>
                      <a:ext cx="168402" cy="86106"/>
                    </a:xfrm>
                    <a:prstGeom prst="rect">
                      <a:avLst/>
                    </a:prstGeom>
                  </pic:spPr>
                </pic:pic>
              </a:graphicData>
            </a:graphic>
          </wp:inline>
        </w:drawing>
      </w:r>
      <w:r>
        <w:rPr>
          <w:rFonts w:ascii="Arial" w:eastAsia="Arial" w:hAnsi="Arial" w:cs="Arial"/>
        </w:rPr>
        <w:t xml:space="preserve"> </w:t>
      </w:r>
      <w:r>
        <w:t xml:space="preserve">V souladu s právní úpravou advokacie nebude </w:t>
      </w:r>
      <w:proofErr w:type="spellStart"/>
      <w:r>
        <w:t>Deloitte</w:t>
      </w:r>
      <w:proofErr w:type="spellEnd"/>
      <w:r>
        <w:t xml:space="preserve"> </w:t>
      </w:r>
      <w:proofErr w:type="spellStart"/>
      <w:r>
        <w:t>Legal</w:t>
      </w:r>
      <w:proofErr w:type="spellEnd"/>
      <w:r>
        <w:t xml:space="preserve"> vázána těmi příkazy Objednatele, které budou protiprávní nebo v rozporu se stavovským předpisem České advokátní komory. </w:t>
      </w:r>
    </w:p>
    <w:p w:rsidR="00A618E6" w:rsidRDefault="00FB3BD4">
      <w:pPr>
        <w:pStyle w:val="Nadpis2"/>
        <w:ind w:left="0" w:right="197"/>
      </w:pPr>
      <w:r>
        <w:rPr>
          <w:noProof/>
        </w:rPr>
        <w:drawing>
          <wp:inline distT="0" distB="0" distL="0" distR="0">
            <wp:extent cx="296418" cy="84582"/>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38"/>
                    <a:stretch>
                      <a:fillRect/>
                    </a:stretch>
                  </pic:blipFill>
                  <pic:spPr>
                    <a:xfrm>
                      <a:off x="0" y="0"/>
                      <a:ext cx="296418" cy="84582"/>
                    </a:xfrm>
                    <a:prstGeom prst="rect">
                      <a:avLst/>
                    </a:prstGeom>
                  </pic:spPr>
                </pic:pic>
              </a:graphicData>
            </a:graphic>
          </wp:inline>
        </w:drawing>
      </w:r>
      <w:r>
        <w:rPr>
          <w:rFonts w:ascii="Arial" w:eastAsia="Arial" w:hAnsi="Arial" w:cs="Arial"/>
        </w:rPr>
        <w:t xml:space="preserve"> </w:t>
      </w:r>
      <w:r>
        <w:t xml:space="preserve">OMEZENÍ ODPOVĚDNOSTI </w:t>
      </w:r>
    </w:p>
    <w:p w:rsidR="00A618E6" w:rsidRDefault="00FB3BD4">
      <w:pPr>
        <w:ind w:left="716" w:right="199"/>
      </w:pPr>
      <w:r>
        <w:rPr>
          <w:noProof/>
        </w:rPr>
        <w:drawing>
          <wp:inline distT="0" distB="0" distL="0" distR="0">
            <wp:extent cx="165354" cy="89154"/>
            <wp:effectExtent l="0" t="0" r="0" b="0"/>
            <wp:docPr id="2646" name="Picture 2646"/>
            <wp:cNvGraphicFramePr/>
            <a:graphic xmlns:a="http://schemas.openxmlformats.org/drawingml/2006/main">
              <a:graphicData uri="http://schemas.openxmlformats.org/drawingml/2006/picture">
                <pic:pic xmlns:pic="http://schemas.openxmlformats.org/drawingml/2006/picture">
                  <pic:nvPicPr>
                    <pic:cNvPr id="2646" name="Picture 2646"/>
                    <pic:cNvPicPr/>
                  </pic:nvPicPr>
                  <pic:blipFill>
                    <a:blip r:embed="rId39"/>
                    <a:stretch>
                      <a:fillRect/>
                    </a:stretch>
                  </pic:blipFill>
                  <pic:spPr>
                    <a:xfrm>
                      <a:off x="0" y="0"/>
                      <a:ext cx="165354" cy="89154"/>
                    </a:xfrm>
                    <a:prstGeom prst="rect">
                      <a:avLst/>
                    </a:prstGeom>
                  </pic:spPr>
                </pic:pic>
              </a:graphicData>
            </a:graphic>
          </wp:inline>
        </w:drawing>
      </w:r>
      <w:r>
        <w:rPr>
          <w:rFonts w:ascii="Arial" w:eastAsia="Arial" w:hAnsi="Arial" w:cs="Arial"/>
        </w:rPr>
        <w:t xml:space="preserve"> </w:t>
      </w:r>
      <w:r>
        <w:t xml:space="preserve">Při dodržení ustanovení zákona o advokacii a dalších právních předpisů odpovědnost </w:t>
      </w:r>
      <w:proofErr w:type="spellStart"/>
      <w:r>
        <w:t>Deloitte</w:t>
      </w:r>
      <w:proofErr w:type="spellEnd"/>
      <w:r>
        <w:t xml:space="preserve"> </w:t>
      </w:r>
      <w:proofErr w:type="spellStart"/>
      <w:r>
        <w:t>Legal</w:t>
      </w:r>
      <w:proofErr w:type="spellEnd"/>
      <w:r>
        <w:t xml:space="preserve"> za veškerou majetkovou a nemajetkovou újmu (ať již např. za skutečnou škodu, ušlý zisk či vynaložené náklady v souvislosti s poskytovanými službami) nepřesáhne částku odpovídající pětinásobku fakturované odměny za příslušnou službu, nebude však nikdy vyšší než 250 000 </w:t>
      </w:r>
      <w:proofErr w:type="gramStart"/>
      <w:r>
        <w:t>Eur</w:t>
      </w:r>
      <w:proofErr w:type="gramEnd"/>
      <w:r>
        <w:t xml:space="preserve">. Objednatel souhlasí, že odměna </w:t>
      </w:r>
      <w:proofErr w:type="spellStart"/>
      <w:r>
        <w:t>Deloitte</w:t>
      </w:r>
      <w:proofErr w:type="spellEnd"/>
      <w:r>
        <w:t xml:space="preserve"> </w:t>
      </w:r>
      <w:proofErr w:type="spellStart"/>
      <w:r>
        <w:t>Legal</w:t>
      </w:r>
      <w:proofErr w:type="spellEnd"/>
      <w:r>
        <w:t xml:space="preserve"> byla stanovena s ohledem na omezení odpovědnosti dle ustanovení předchozí věty. </w:t>
      </w:r>
    </w:p>
    <w:p w:rsidR="00A618E6" w:rsidRDefault="00FB3BD4">
      <w:pPr>
        <w:ind w:left="716" w:right="199"/>
      </w:pPr>
      <w:r>
        <w:rPr>
          <w:noProof/>
        </w:rPr>
        <w:drawing>
          <wp:inline distT="0" distB="0" distL="0" distR="0">
            <wp:extent cx="169926" cy="89154"/>
            <wp:effectExtent l="0" t="0" r="0" b="0"/>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40"/>
                    <a:stretch>
                      <a:fillRect/>
                    </a:stretch>
                  </pic:blipFill>
                  <pic:spPr>
                    <a:xfrm>
                      <a:off x="0" y="0"/>
                      <a:ext cx="169926" cy="89154"/>
                    </a:xfrm>
                    <a:prstGeom prst="rect">
                      <a:avLst/>
                    </a:prstGeom>
                  </pic:spPr>
                </pic:pic>
              </a:graphicData>
            </a:graphic>
          </wp:inline>
        </w:drawing>
      </w:r>
      <w:r>
        <w:rPr>
          <w:rFonts w:ascii="Arial" w:eastAsia="Arial" w:hAnsi="Arial" w:cs="Arial"/>
        </w:rPr>
        <w:t xml:space="preserve"> </w:t>
      </w:r>
      <w:r>
        <w:t xml:space="preserve">Jakýkoliv nárok založený na této smlouvě musí být vznesen vůči </w:t>
      </w:r>
      <w:proofErr w:type="spellStart"/>
      <w:r>
        <w:t>Deloitte</w:t>
      </w:r>
      <w:proofErr w:type="spellEnd"/>
      <w:r>
        <w:t xml:space="preserve"> </w:t>
      </w:r>
      <w:proofErr w:type="spellStart"/>
      <w:r>
        <w:t>Legal</w:t>
      </w:r>
      <w:proofErr w:type="spellEnd"/>
      <w:r>
        <w:t xml:space="preserve">, tzn. nikoliv vůči jejím společníkům, advokátům, zaměstnancům a spolupracujícím osobám či jiným členům </w:t>
      </w:r>
      <w:proofErr w:type="spellStart"/>
      <w:r>
        <w:t>Deloitte</w:t>
      </w:r>
      <w:proofErr w:type="spellEnd"/>
      <w:r>
        <w:t xml:space="preserve">. V této souvislosti Objednatel souhlasí, že, s výjimkou </w:t>
      </w:r>
      <w:proofErr w:type="spellStart"/>
      <w:r>
        <w:t>Deloitte</w:t>
      </w:r>
      <w:proofErr w:type="spellEnd"/>
      <w:r>
        <w:t xml:space="preserve"> </w:t>
      </w:r>
      <w:proofErr w:type="spellStart"/>
      <w:r>
        <w:t>Legal</w:t>
      </w:r>
      <w:proofErr w:type="spellEnd"/>
      <w:r>
        <w:t xml:space="preserve">, členové </w:t>
      </w:r>
      <w:proofErr w:type="spellStart"/>
      <w:r>
        <w:t>Deloitte</w:t>
      </w:r>
      <w:proofErr w:type="spellEnd"/>
      <w:r>
        <w:t xml:space="preserve"> vůči Objednateli nenesou jakoukoliv odpovědnost za služby, které jsou nebo budou poskytovány dle této smlouvy. Proto Objednatel souhlasí, že žádný z členů </w:t>
      </w:r>
      <w:proofErr w:type="spellStart"/>
      <w:r>
        <w:t>Deloitte</w:t>
      </w:r>
      <w:proofErr w:type="spellEnd"/>
      <w:r>
        <w:t xml:space="preserve"> (vyjma </w:t>
      </w:r>
      <w:proofErr w:type="spellStart"/>
      <w:r>
        <w:t>Deloitte</w:t>
      </w:r>
      <w:proofErr w:type="spellEnd"/>
      <w:r>
        <w:t xml:space="preserve"> </w:t>
      </w:r>
      <w:proofErr w:type="spellStart"/>
      <w:r>
        <w:t>Legal</w:t>
      </w:r>
      <w:proofErr w:type="spellEnd"/>
      <w:r>
        <w:t xml:space="preserve">) vůči němu nemá jakýkoli závazek, že nevznese žádný nárok a nezahájí soudní, rozhodčí či jiné obdobné řízení proti jakémukoli </w:t>
      </w:r>
      <w:r>
        <w:lastRenderedPageBreak/>
        <w:t xml:space="preserve">členovi </w:t>
      </w:r>
      <w:proofErr w:type="spellStart"/>
      <w:r>
        <w:t>Deloitte</w:t>
      </w:r>
      <w:proofErr w:type="spellEnd"/>
      <w:r>
        <w:t xml:space="preserve"> (vyjma </w:t>
      </w:r>
      <w:proofErr w:type="spellStart"/>
      <w:r>
        <w:t>Deloitte</w:t>
      </w:r>
      <w:proofErr w:type="spellEnd"/>
      <w:r>
        <w:t xml:space="preserve"> </w:t>
      </w:r>
      <w:proofErr w:type="spellStart"/>
      <w:r>
        <w:t>Legal</w:t>
      </w:r>
      <w:proofErr w:type="spellEnd"/>
      <w:r>
        <w:t xml:space="preserve">) v souvislosti s touto smlouvou a zajistí, že ani jiný subjekt s Objednatelem propojený, který není stranou této smlouvy, takový nárok nevznese či takové řízení nezahájí. </w:t>
      </w:r>
    </w:p>
    <w:p w:rsidR="00A618E6" w:rsidRDefault="00FB3BD4">
      <w:pPr>
        <w:spacing w:after="376"/>
        <w:ind w:left="716" w:right="199"/>
      </w:pPr>
      <w:r>
        <w:rPr>
          <w:noProof/>
        </w:rPr>
        <w:drawing>
          <wp:inline distT="0" distB="0" distL="0" distR="0">
            <wp:extent cx="168402" cy="89154"/>
            <wp:effectExtent l="0" t="0" r="0" b="0"/>
            <wp:docPr id="2691" name="Picture 2691"/>
            <wp:cNvGraphicFramePr/>
            <a:graphic xmlns:a="http://schemas.openxmlformats.org/drawingml/2006/main">
              <a:graphicData uri="http://schemas.openxmlformats.org/drawingml/2006/picture">
                <pic:pic xmlns:pic="http://schemas.openxmlformats.org/drawingml/2006/picture">
                  <pic:nvPicPr>
                    <pic:cNvPr id="2691" name="Picture 2691"/>
                    <pic:cNvPicPr/>
                  </pic:nvPicPr>
                  <pic:blipFill>
                    <a:blip r:embed="rId41"/>
                    <a:stretch>
                      <a:fillRect/>
                    </a:stretch>
                  </pic:blipFill>
                  <pic:spPr>
                    <a:xfrm>
                      <a:off x="0" y="0"/>
                      <a:ext cx="168402" cy="89154"/>
                    </a:xfrm>
                    <a:prstGeom prst="rect">
                      <a:avLst/>
                    </a:prstGeom>
                  </pic:spPr>
                </pic:pic>
              </a:graphicData>
            </a:graphic>
          </wp:inline>
        </w:drawing>
      </w:r>
      <w:r>
        <w:rPr>
          <w:rFonts w:ascii="Arial" w:eastAsia="Arial" w:hAnsi="Arial" w:cs="Arial"/>
        </w:rPr>
        <w:t xml:space="preserve"> </w:t>
      </w:r>
      <w:r>
        <w:t xml:space="preserve">Objednatel se zavazuje vyvinout veškeré úsilí k tomu, aby nebyly </w:t>
      </w:r>
      <w:proofErr w:type="spellStart"/>
      <w:r>
        <w:t>Deloitte</w:t>
      </w:r>
      <w:proofErr w:type="spellEnd"/>
      <w:r>
        <w:t xml:space="preserve"> </w:t>
      </w:r>
      <w:proofErr w:type="spellStart"/>
      <w:proofErr w:type="gramStart"/>
      <w:r>
        <w:t>Legal</w:t>
      </w:r>
      <w:proofErr w:type="spellEnd"/>
      <w:r>
        <w:t xml:space="preserve">  ani</w:t>
      </w:r>
      <w:proofErr w:type="gramEnd"/>
      <w:r>
        <w:t xml:space="preserve"> jinému členu </w:t>
      </w:r>
      <w:proofErr w:type="spellStart"/>
      <w:r>
        <w:t>Deloitte</w:t>
      </w:r>
      <w:proofErr w:type="spellEnd"/>
      <w:r>
        <w:t xml:space="preserve"> způsobeny škody, a odškodnit </w:t>
      </w:r>
      <w:proofErr w:type="spellStart"/>
      <w:r>
        <w:t>Deloitte</w:t>
      </w:r>
      <w:proofErr w:type="spellEnd"/>
      <w:r>
        <w:t xml:space="preserve"> </w:t>
      </w:r>
      <w:proofErr w:type="spellStart"/>
      <w:r>
        <w:t>Legal</w:t>
      </w:r>
      <w:proofErr w:type="spellEnd"/>
      <w:r>
        <w:t xml:space="preserve"> a jakéhokoli jiného člena </w:t>
      </w:r>
      <w:proofErr w:type="spellStart"/>
      <w:r>
        <w:t>Deloitte</w:t>
      </w:r>
      <w:proofErr w:type="spellEnd"/>
      <w:r>
        <w:t xml:space="preserve"> v případě, že v souvislosti se službami bude vznesen jakýkoliv nárok třetí strany, s výjimkou případů, které dle pravomocného soudního rozhodnutí takové nároky vyplynuly z úmyslného porušení právní povinnosti </w:t>
      </w:r>
      <w:proofErr w:type="spellStart"/>
      <w:r>
        <w:t>Deloitte</w:t>
      </w:r>
      <w:proofErr w:type="spellEnd"/>
      <w:r>
        <w:t xml:space="preserve"> </w:t>
      </w:r>
      <w:proofErr w:type="spellStart"/>
      <w:r>
        <w:t>Legal</w:t>
      </w:r>
      <w:proofErr w:type="spellEnd"/>
      <w:r>
        <w:t xml:space="preserve"> nebo jakýmkoliv jiným členem </w:t>
      </w:r>
      <w:proofErr w:type="spellStart"/>
      <w:r>
        <w:t>Deloitte</w:t>
      </w:r>
      <w:proofErr w:type="spellEnd"/>
      <w:r>
        <w:t xml:space="preserve">, popř. jeho subdodavatelem. </w:t>
      </w:r>
    </w:p>
    <w:p w:rsidR="00A618E6" w:rsidRDefault="00FB3BD4">
      <w:pPr>
        <w:pStyle w:val="Nadpis2"/>
        <w:tabs>
          <w:tab w:val="center" w:pos="3808"/>
        </w:tabs>
        <w:ind w:left="-10" w:firstLine="0"/>
        <w:jc w:val="left"/>
      </w:pPr>
      <w:r>
        <w:rPr>
          <w:noProof/>
        </w:rPr>
        <w:drawing>
          <wp:inline distT="0" distB="0" distL="0" distR="0">
            <wp:extent cx="171450" cy="84582"/>
            <wp:effectExtent l="0" t="0" r="0" b="0"/>
            <wp:docPr id="2716" name="Picture 2716"/>
            <wp:cNvGraphicFramePr/>
            <a:graphic xmlns:a="http://schemas.openxmlformats.org/drawingml/2006/main">
              <a:graphicData uri="http://schemas.openxmlformats.org/drawingml/2006/picture">
                <pic:pic xmlns:pic="http://schemas.openxmlformats.org/drawingml/2006/picture">
                  <pic:nvPicPr>
                    <pic:cNvPr id="2716" name="Picture 2716"/>
                    <pic:cNvPicPr/>
                  </pic:nvPicPr>
                  <pic:blipFill>
                    <a:blip r:embed="rId42"/>
                    <a:stretch>
                      <a:fillRect/>
                    </a:stretch>
                  </pic:blipFill>
                  <pic:spPr>
                    <a:xfrm>
                      <a:off x="0" y="0"/>
                      <a:ext cx="171450"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PRÁVNÍ ÚPRAVA PROTI LEGALIZACI VÝNOSŮ Z TRESTNÉ ČINNOSTI </w:t>
      </w:r>
    </w:p>
    <w:p w:rsidR="00A618E6" w:rsidRDefault="00FB3BD4">
      <w:pPr>
        <w:ind w:left="716" w:right="199"/>
      </w:pPr>
      <w:r>
        <w:rPr>
          <w:noProof/>
        </w:rPr>
        <w:drawing>
          <wp:inline distT="0" distB="0" distL="0" distR="0">
            <wp:extent cx="166878" cy="89154"/>
            <wp:effectExtent l="0" t="0" r="0" b="0"/>
            <wp:docPr id="2724" name="Picture 2724"/>
            <wp:cNvGraphicFramePr/>
            <a:graphic xmlns:a="http://schemas.openxmlformats.org/drawingml/2006/main">
              <a:graphicData uri="http://schemas.openxmlformats.org/drawingml/2006/picture">
                <pic:pic xmlns:pic="http://schemas.openxmlformats.org/drawingml/2006/picture">
                  <pic:nvPicPr>
                    <pic:cNvPr id="2724" name="Picture 2724"/>
                    <pic:cNvPicPr/>
                  </pic:nvPicPr>
                  <pic:blipFill>
                    <a:blip r:embed="rId43"/>
                    <a:stretch>
                      <a:fillRect/>
                    </a:stretch>
                  </pic:blipFill>
                  <pic:spPr>
                    <a:xfrm>
                      <a:off x="0" y="0"/>
                      <a:ext cx="166878" cy="89154"/>
                    </a:xfrm>
                    <a:prstGeom prst="rect">
                      <a:avLst/>
                    </a:prstGeom>
                  </pic:spPr>
                </pic:pic>
              </a:graphicData>
            </a:graphic>
          </wp:inline>
        </w:drawing>
      </w:r>
      <w:r>
        <w:rPr>
          <w:rFonts w:ascii="Arial" w:eastAsia="Arial" w:hAnsi="Arial" w:cs="Arial"/>
        </w:rPr>
        <w:t xml:space="preserve"> </w:t>
      </w:r>
      <w:r>
        <w:t xml:space="preserve">V souladu s platnou právní úpravou proti legalizaci výnosů z trestné činnosti (zejména zákonem č. 253/2008 Sb., o některých opatřeních proti legalizaci výnosů z trestné činnosti a financování terorismu, ve znění pozdějších předpisů) může být </w:t>
      </w:r>
      <w:proofErr w:type="spellStart"/>
      <w:r>
        <w:t>Deloitte</w:t>
      </w:r>
      <w:proofErr w:type="spellEnd"/>
      <w:r>
        <w:t xml:space="preserve"> </w:t>
      </w:r>
      <w:proofErr w:type="spellStart"/>
      <w:r>
        <w:t>Legal</w:t>
      </w:r>
      <w:proofErr w:type="spellEnd"/>
      <w:r>
        <w:t xml:space="preserve"> povinna identifikovat zástupce a statutární orgán Objednatele. V takovém případě </w:t>
      </w:r>
      <w:proofErr w:type="spellStart"/>
      <w:r>
        <w:t>Deloitte</w:t>
      </w:r>
      <w:proofErr w:type="spellEnd"/>
      <w:r>
        <w:t xml:space="preserve"> </w:t>
      </w:r>
      <w:proofErr w:type="spellStart"/>
      <w:r>
        <w:t>Legal</w:t>
      </w:r>
      <w:proofErr w:type="spellEnd"/>
      <w:r>
        <w:t xml:space="preserve"> požádá Objednatele o spolupráci při plnění této zákonné povinnosti vyplněním formuláře poskytnutého ze strany </w:t>
      </w:r>
      <w:proofErr w:type="spellStart"/>
      <w:r>
        <w:t>Deloitte</w:t>
      </w:r>
      <w:proofErr w:type="spellEnd"/>
      <w:r>
        <w:t xml:space="preserve"> </w:t>
      </w:r>
      <w:proofErr w:type="spellStart"/>
      <w:r>
        <w:t>Legal</w:t>
      </w:r>
      <w:proofErr w:type="spellEnd"/>
      <w:r>
        <w:t xml:space="preserve"> Objednateli a potvrzením správnosti vložených dat připojením podpisu statutárního orgánu nebo oprávněného zástupce. </w:t>
      </w:r>
    </w:p>
    <w:p w:rsidR="00A618E6" w:rsidRDefault="00FB3BD4">
      <w:pPr>
        <w:pStyle w:val="Nadpis2"/>
        <w:tabs>
          <w:tab w:val="center" w:pos="2120"/>
        </w:tabs>
        <w:ind w:left="-10" w:firstLine="0"/>
        <w:jc w:val="left"/>
      </w:pPr>
      <w:r>
        <w:rPr>
          <w:noProof/>
        </w:rPr>
        <w:drawing>
          <wp:inline distT="0" distB="0" distL="0" distR="0">
            <wp:extent cx="118110" cy="84582"/>
            <wp:effectExtent l="0" t="0" r="0" b="0"/>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44"/>
                    <a:stretch>
                      <a:fillRect/>
                    </a:stretch>
                  </pic:blipFill>
                  <pic:spPr>
                    <a:xfrm>
                      <a:off x="0" y="0"/>
                      <a:ext cx="118110"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UKONČENÍ SMLUVNÍHO VZTAHU </w:t>
      </w:r>
    </w:p>
    <w:p w:rsidR="00A618E6" w:rsidRDefault="00FB3BD4">
      <w:pPr>
        <w:ind w:left="716" w:right="199"/>
      </w:pPr>
      <w:r>
        <w:rPr>
          <w:noProof/>
        </w:rPr>
        <w:drawing>
          <wp:inline distT="0" distB="0" distL="0" distR="0">
            <wp:extent cx="226314" cy="89154"/>
            <wp:effectExtent l="0" t="0" r="0" b="0"/>
            <wp:docPr id="2791" name="Picture 2791"/>
            <wp:cNvGraphicFramePr/>
            <a:graphic xmlns:a="http://schemas.openxmlformats.org/drawingml/2006/main">
              <a:graphicData uri="http://schemas.openxmlformats.org/drawingml/2006/picture">
                <pic:pic xmlns:pic="http://schemas.openxmlformats.org/drawingml/2006/picture">
                  <pic:nvPicPr>
                    <pic:cNvPr id="2791" name="Picture 2791"/>
                    <pic:cNvPicPr/>
                  </pic:nvPicPr>
                  <pic:blipFill>
                    <a:blip r:embed="rId45"/>
                    <a:stretch>
                      <a:fillRect/>
                    </a:stretch>
                  </pic:blipFill>
                  <pic:spPr>
                    <a:xfrm>
                      <a:off x="0" y="0"/>
                      <a:ext cx="226314" cy="89154"/>
                    </a:xfrm>
                    <a:prstGeom prst="rect">
                      <a:avLst/>
                    </a:prstGeom>
                  </pic:spPr>
                </pic:pic>
              </a:graphicData>
            </a:graphic>
          </wp:inline>
        </w:drawing>
      </w:r>
      <w:r>
        <w:rPr>
          <w:rFonts w:ascii="Arial" w:eastAsia="Arial" w:hAnsi="Arial" w:cs="Arial"/>
        </w:rPr>
        <w:t xml:space="preserve"> </w:t>
      </w:r>
      <w:r>
        <w:t xml:space="preserve">Smluvní vztah vzniklý na základě této smlouvy bude skončen dohodou či doručením písemné výpovědi bez výpovědní doby kteroukoliv ze Smluvních stran druhé Smluvní straně. Pokud neinstruuje Objednatel </w:t>
      </w:r>
      <w:proofErr w:type="spellStart"/>
      <w:r>
        <w:t>Deloitte</w:t>
      </w:r>
      <w:proofErr w:type="spellEnd"/>
      <w:r>
        <w:t xml:space="preserve"> </w:t>
      </w:r>
      <w:proofErr w:type="spellStart"/>
      <w:r>
        <w:t>Legal</w:t>
      </w:r>
      <w:proofErr w:type="spellEnd"/>
      <w:r>
        <w:t xml:space="preserve"> jinak, bude </w:t>
      </w:r>
      <w:proofErr w:type="spellStart"/>
      <w:r>
        <w:t>Deloitte</w:t>
      </w:r>
      <w:proofErr w:type="spellEnd"/>
      <w:r>
        <w:t xml:space="preserve"> </w:t>
      </w:r>
      <w:proofErr w:type="spellStart"/>
      <w:r>
        <w:t>Legal</w:t>
      </w:r>
      <w:proofErr w:type="spellEnd"/>
      <w:r>
        <w:t xml:space="preserve"> (v souladu s právní úpravou advokacie) činit veškeré neodkladné úkony tak, aby Objednatel neutrpěl na svých právech či oprávněných zájmech újmu, po dobu 15 dní poté, co smluvní vztah založený touto smlouvou zanikl. </w:t>
      </w:r>
    </w:p>
    <w:p w:rsidR="00A618E6" w:rsidRDefault="00FB3BD4">
      <w:pPr>
        <w:ind w:left="716" w:right="199"/>
      </w:pPr>
      <w:r>
        <w:rPr>
          <w:noProof/>
        </w:rPr>
        <w:drawing>
          <wp:inline distT="0" distB="0" distL="0" distR="0">
            <wp:extent cx="230886" cy="89154"/>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46"/>
                    <a:stretch>
                      <a:fillRect/>
                    </a:stretch>
                  </pic:blipFill>
                  <pic:spPr>
                    <a:xfrm>
                      <a:off x="0" y="0"/>
                      <a:ext cx="230886" cy="89154"/>
                    </a:xfrm>
                    <a:prstGeom prst="rect">
                      <a:avLst/>
                    </a:prstGeom>
                  </pic:spPr>
                </pic:pic>
              </a:graphicData>
            </a:graphic>
          </wp:inline>
        </w:drawing>
      </w:r>
      <w:r>
        <w:rPr>
          <w:rFonts w:ascii="Arial" w:eastAsia="Arial" w:hAnsi="Arial" w:cs="Arial"/>
        </w:rPr>
        <w:t xml:space="preserve"> </w:t>
      </w:r>
      <w:r>
        <w:t xml:space="preserve">V případě skončení smluvního vztahu Objednatel uhradí smluvní odměnu a veškeré výdaje vzniklé v souvislosti s poskytováním služeb na základě této smlouvy.    </w:t>
      </w:r>
    </w:p>
    <w:p w:rsidR="00A618E6" w:rsidRDefault="00FB3BD4">
      <w:pPr>
        <w:spacing w:after="377"/>
        <w:ind w:left="716" w:right="199"/>
      </w:pPr>
      <w:r>
        <w:rPr>
          <w:noProof/>
        </w:rPr>
        <w:drawing>
          <wp:inline distT="0" distB="0" distL="0" distR="0">
            <wp:extent cx="229362" cy="89154"/>
            <wp:effectExtent l="0" t="0" r="0" b="0"/>
            <wp:docPr id="2823" name="Picture 2823"/>
            <wp:cNvGraphicFramePr/>
            <a:graphic xmlns:a="http://schemas.openxmlformats.org/drawingml/2006/main">
              <a:graphicData uri="http://schemas.openxmlformats.org/drawingml/2006/picture">
                <pic:pic xmlns:pic="http://schemas.openxmlformats.org/drawingml/2006/picture">
                  <pic:nvPicPr>
                    <pic:cNvPr id="2823" name="Picture 2823"/>
                    <pic:cNvPicPr/>
                  </pic:nvPicPr>
                  <pic:blipFill>
                    <a:blip r:embed="rId47"/>
                    <a:stretch>
                      <a:fillRect/>
                    </a:stretch>
                  </pic:blipFill>
                  <pic:spPr>
                    <a:xfrm>
                      <a:off x="0" y="0"/>
                      <a:ext cx="229362" cy="89154"/>
                    </a:xfrm>
                    <a:prstGeom prst="rect">
                      <a:avLst/>
                    </a:prstGeom>
                  </pic:spPr>
                </pic:pic>
              </a:graphicData>
            </a:graphic>
          </wp:inline>
        </w:drawing>
      </w:r>
      <w:r>
        <w:rPr>
          <w:rFonts w:ascii="Arial" w:eastAsia="Arial" w:hAnsi="Arial" w:cs="Arial"/>
        </w:rPr>
        <w:t xml:space="preserve"> </w:t>
      </w:r>
      <w:r>
        <w:t xml:space="preserve">Ustanovení týkající se důvěrnosti a mlčenlivosti, odpovědnosti a rozhodného práva a soudní pravomoci zůstávají v účinnosti bez ohledu na ukončení této smlouvy či skončení poskytování služeb. </w:t>
      </w:r>
    </w:p>
    <w:p w:rsidR="00A618E6" w:rsidRDefault="00FB3BD4">
      <w:pPr>
        <w:pStyle w:val="Nadpis2"/>
        <w:tabs>
          <w:tab w:val="center" w:pos="2561"/>
        </w:tabs>
        <w:ind w:left="-10" w:firstLine="0"/>
        <w:jc w:val="left"/>
      </w:pPr>
      <w:r>
        <w:rPr>
          <w:noProof/>
        </w:rPr>
        <w:drawing>
          <wp:inline distT="0" distB="0" distL="0" distR="0">
            <wp:extent cx="177546" cy="84581"/>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48"/>
                    <a:stretch>
                      <a:fillRect/>
                    </a:stretch>
                  </pic:blipFill>
                  <pic:spPr>
                    <a:xfrm>
                      <a:off x="0" y="0"/>
                      <a:ext cx="177546" cy="84581"/>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ROZHODNÉ PRÁVO A SOUDNÍ PRAVOMOC </w:t>
      </w:r>
    </w:p>
    <w:p w:rsidR="00A618E6" w:rsidRDefault="00FB3BD4">
      <w:pPr>
        <w:tabs>
          <w:tab w:val="center" w:pos="4104"/>
        </w:tabs>
        <w:ind w:left="0" w:right="0" w:firstLine="0"/>
        <w:jc w:val="left"/>
      </w:pPr>
      <w:r>
        <w:rPr>
          <w:noProof/>
        </w:rPr>
        <w:drawing>
          <wp:inline distT="0" distB="0" distL="0" distR="0">
            <wp:extent cx="226314" cy="84582"/>
            <wp:effectExtent l="0" t="0" r="0" b="0"/>
            <wp:docPr id="2838" name="Picture 2838"/>
            <wp:cNvGraphicFramePr/>
            <a:graphic xmlns:a="http://schemas.openxmlformats.org/drawingml/2006/main">
              <a:graphicData uri="http://schemas.openxmlformats.org/drawingml/2006/picture">
                <pic:pic xmlns:pic="http://schemas.openxmlformats.org/drawingml/2006/picture">
                  <pic:nvPicPr>
                    <pic:cNvPr id="2838" name="Picture 2838"/>
                    <pic:cNvPicPr/>
                  </pic:nvPicPr>
                  <pic:blipFill>
                    <a:blip r:embed="rId49"/>
                    <a:stretch>
                      <a:fillRect/>
                    </a:stretch>
                  </pic:blipFill>
                  <pic:spPr>
                    <a:xfrm>
                      <a:off x="0" y="0"/>
                      <a:ext cx="226314" cy="8458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Smluvní vztah založený na základě této smlouvy se bude řídit českým právem.  </w:t>
      </w:r>
    </w:p>
    <w:p w:rsidR="00A618E6" w:rsidRDefault="00FB3BD4">
      <w:pPr>
        <w:spacing w:after="376"/>
        <w:ind w:left="716" w:right="199"/>
      </w:pPr>
      <w:r>
        <w:rPr>
          <w:noProof/>
        </w:rPr>
        <w:drawing>
          <wp:inline distT="0" distB="0" distL="0" distR="0">
            <wp:extent cx="230886" cy="86106"/>
            <wp:effectExtent l="0" t="0" r="0" b="0"/>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50"/>
                    <a:stretch>
                      <a:fillRect/>
                    </a:stretch>
                  </pic:blipFill>
                  <pic:spPr>
                    <a:xfrm>
                      <a:off x="0" y="0"/>
                      <a:ext cx="230886" cy="86106"/>
                    </a:xfrm>
                    <a:prstGeom prst="rect">
                      <a:avLst/>
                    </a:prstGeom>
                  </pic:spPr>
                </pic:pic>
              </a:graphicData>
            </a:graphic>
          </wp:inline>
        </w:drawing>
      </w:r>
      <w:r>
        <w:rPr>
          <w:rFonts w:ascii="Arial" w:eastAsia="Arial" w:hAnsi="Arial" w:cs="Arial"/>
        </w:rPr>
        <w:t xml:space="preserve"> </w:t>
      </w:r>
      <w:r>
        <w:t xml:space="preserve">Jakýkoliv spor vzniklý v souvislosti s touto smlouvou a/nebo dalšími souvisejícími dohodami bude spadat do soudní pravomoci českého soudu místně příslušného dle sídla </w:t>
      </w:r>
      <w:proofErr w:type="spellStart"/>
      <w:r>
        <w:t>Deloitte</w:t>
      </w:r>
      <w:proofErr w:type="spellEnd"/>
      <w:r>
        <w:t xml:space="preserve"> </w:t>
      </w:r>
      <w:proofErr w:type="spellStart"/>
      <w:r>
        <w:t>Legal</w:t>
      </w:r>
      <w:proofErr w:type="spellEnd"/>
      <w:r>
        <w:t xml:space="preserve">. </w:t>
      </w:r>
    </w:p>
    <w:p w:rsidR="00A618E6" w:rsidRDefault="00FB3BD4">
      <w:pPr>
        <w:pStyle w:val="Nadpis2"/>
        <w:ind w:left="0" w:right="197"/>
      </w:pPr>
      <w:r>
        <w:rPr>
          <w:noProof/>
        </w:rPr>
        <w:drawing>
          <wp:inline distT="0" distB="0" distL="0" distR="0">
            <wp:extent cx="236982" cy="84582"/>
            <wp:effectExtent l="0" t="0" r="0" b="0"/>
            <wp:docPr id="2856" name="Picture 2856"/>
            <wp:cNvGraphicFramePr/>
            <a:graphic xmlns:a="http://schemas.openxmlformats.org/drawingml/2006/main">
              <a:graphicData uri="http://schemas.openxmlformats.org/drawingml/2006/picture">
                <pic:pic xmlns:pic="http://schemas.openxmlformats.org/drawingml/2006/picture">
                  <pic:nvPicPr>
                    <pic:cNvPr id="2856" name="Picture 2856"/>
                    <pic:cNvPicPr/>
                  </pic:nvPicPr>
                  <pic:blipFill>
                    <a:blip r:embed="rId51"/>
                    <a:stretch>
                      <a:fillRect/>
                    </a:stretch>
                  </pic:blipFill>
                  <pic:spPr>
                    <a:xfrm>
                      <a:off x="0" y="0"/>
                      <a:ext cx="236982" cy="84582"/>
                    </a:xfrm>
                    <a:prstGeom prst="rect">
                      <a:avLst/>
                    </a:prstGeom>
                  </pic:spPr>
                </pic:pic>
              </a:graphicData>
            </a:graphic>
          </wp:inline>
        </w:drawing>
      </w:r>
      <w:r>
        <w:rPr>
          <w:rFonts w:ascii="Arial" w:eastAsia="Arial" w:hAnsi="Arial" w:cs="Arial"/>
        </w:rPr>
        <w:t xml:space="preserve"> </w:t>
      </w:r>
      <w:r>
        <w:t xml:space="preserve">ZÁVĚREČNÁ USTANOVENÍ </w:t>
      </w:r>
    </w:p>
    <w:p w:rsidR="00A618E6" w:rsidRDefault="00FB3BD4">
      <w:pPr>
        <w:ind w:left="716" w:right="199"/>
      </w:pPr>
      <w:r>
        <w:rPr>
          <w:noProof/>
        </w:rPr>
        <w:drawing>
          <wp:inline distT="0" distB="0" distL="0" distR="0">
            <wp:extent cx="226314" cy="86106"/>
            <wp:effectExtent l="0" t="0" r="0" b="0"/>
            <wp:docPr id="2861" name="Picture 2861"/>
            <wp:cNvGraphicFramePr/>
            <a:graphic xmlns:a="http://schemas.openxmlformats.org/drawingml/2006/main">
              <a:graphicData uri="http://schemas.openxmlformats.org/drawingml/2006/picture">
                <pic:pic xmlns:pic="http://schemas.openxmlformats.org/drawingml/2006/picture">
                  <pic:nvPicPr>
                    <pic:cNvPr id="2861" name="Picture 2861"/>
                    <pic:cNvPicPr/>
                  </pic:nvPicPr>
                  <pic:blipFill>
                    <a:blip r:embed="rId52"/>
                    <a:stretch>
                      <a:fillRect/>
                    </a:stretch>
                  </pic:blipFill>
                  <pic:spPr>
                    <a:xfrm>
                      <a:off x="0" y="0"/>
                      <a:ext cx="226314" cy="86106"/>
                    </a:xfrm>
                    <a:prstGeom prst="rect">
                      <a:avLst/>
                    </a:prstGeom>
                  </pic:spPr>
                </pic:pic>
              </a:graphicData>
            </a:graphic>
          </wp:inline>
        </w:drawing>
      </w:r>
      <w:r>
        <w:rPr>
          <w:rFonts w:ascii="Arial" w:eastAsia="Arial" w:hAnsi="Arial" w:cs="Arial"/>
        </w:rPr>
        <w:t xml:space="preserve"> </w:t>
      </w:r>
      <w:r>
        <w:t xml:space="preserve">Tato smlouva se bude na poskytování služeb vztahovat s účinností od data jejího uzavření nebo (pokud tato skutečnost nastane dříve) ode dne zahájení poskytování </w:t>
      </w:r>
      <w:proofErr w:type="gramStart"/>
      <w:r>
        <w:t>služeb - v</w:t>
      </w:r>
      <w:proofErr w:type="gramEnd"/>
      <w:r>
        <w:t xml:space="preserve"> takovém případě se písemné uzavření smlouvy považuje za potvrzení jejího ústního uzavření k datu zahájení poskytování služeb. </w:t>
      </w:r>
    </w:p>
    <w:p w:rsidR="00A618E6" w:rsidRDefault="00FB3BD4">
      <w:pPr>
        <w:ind w:left="716" w:right="199"/>
      </w:pPr>
      <w:r>
        <w:rPr>
          <w:noProof/>
        </w:rPr>
        <w:drawing>
          <wp:inline distT="0" distB="0" distL="0" distR="0">
            <wp:extent cx="230886" cy="86106"/>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53"/>
                    <a:stretch>
                      <a:fillRect/>
                    </a:stretch>
                  </pic:blipFill>
                  <pic:spPr>
                    <a:xfrm>
                      <a:off x="0" y="0"/>
                      <a:ext cx="230886" cy="86106"/>
                    </a:xfrm>
                    <a:prstGeom prst="rect">
                      <a:avLst/>
                    </a:prstGeom>
                  </pic:spPr>
                </pic:pic>
              </a:graphicData>
            </a:graphic>
          </wp:inline>
        </w:drawing>
      </w:r>
      <w:r>
        <w:rPr>
          <w:rFonts w:ascii="Arial" w:eastAsia="Arial" w:hAnsi="Arial" w:cs="Arial"/>
        </w:rPr>
        <w:t xml:space="preserve"> </w:t>
      </w:r>
      <w:r>
        <w:t xml:space="preserve">Tato smlouva se bude vztahovat jak na právní služby poskytované v souvislosti s výše uvedeným zadáním, tak na jakékoliv další právní služby poskytované Objednateli v budoucnu, pokud nebude dohodnuto jinak. </w:t>
      </w:r>
    </w:p>
    <w:p w:rsidR="00A618E6" w:rsidRDefault="00FB3BD4">
      <w:pPr>
        <w:ind w:left="716" w:right="199"/>
      </w:pPr>
      <w:r>
        <w:rPr>
          <w:noProof/>
        </w:rPr>
        <w:drawing>
          <wp:inline distT="0" distB="0" distL="0" distR="0">
            <wp:extent cx="229362" cy="89154"/>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54"/>
                    <a:stretch>
                      <a:fillRect/>
                    </a:stretch>
                  </pic:blipFill>
                  <pic:spPr>
                    <a:xfrm>
                      <a:off x="0" y="0"/>
                      <a:ext cx="229362" cy="89154"/>
                    </a:xfrm>
                    <a:prstGeom prst="rect">
                      <a:avLst/>
                    </a:prstGeom>
                  </pic:spPr>
                </pic:pic>
              </a:graphicData>
            </a:graphic>
          </wp:inline>
        </w:drawing>
      </w:r>
      <w:r>
        <w:rPr>
          <w:rFonts w:ascii="Arial" w:eastAsia="Arial" w:hAnsi="Arial" w:cs="Arial"/>
        </w:rPr>
        <w:t xml:space="preserve"> </w:t>
      </w:r>
      <w:r>
        <w:t xml:space="preserve">Tato smlouva může být změněna nebo nahrazena pouze písemnou dohodou, při zachování možnosti změny rozsahu poskytovaných služeb a dalších specifikací formami stanovenými v této smlouvě. Přijetí této smlouvy s dodatkem nebo odchylkou se vylučuje.  </w:t>
      </w:r>
    </w:p>
    <w:p w:rsidR="00A618E6" w:rsidRDefault="00FB3BD4">
      <w:pPr>
        <w:spacing w:after="26"/>
        <w:ind w:left="716" w:right="199"/>
      </w:pPr>
      <w:r>
        <w:rPr>
          <w:noProof/>
        </w:rPr>
        <w:drawing>
          <wp:inline distT="0" distB="0" distL="0" distR="0">
            <wp:extent cx="232410" cy="86106"/>
            <wp:effectExtent l="0" t="0" r="0" b="0"/>
            <wp:docPr id="2898" name="Picture 2898"/>
            <wp:cNvGraphicFramePr/>
            <a:graphic xmlns:a="http://schemas.openxmlformats.org/drawingml/2006/main">
              <a:graphicData uri="http://schemas.openxmlformats.org/drawingml/2006/picture">
                <pic:pic xmlns:pic="http://schemas.openxmlformats.org/drawingml/2006/picture">
                  <pic:nvPicPr>
                    <pic:cNvPr id="2898" name="Picture 2898"/>
                    <pic:cNvPicPr/>
                  </pic:nvPicPr>
                  <pic:blipFill>
                    <a:blip r:embed="rId55"/>
                    <a:stretch>
                      <a:fillRect/>
                    </a:stretch>
                  </pic:blipFill>
                  <pic:spPr>
                    <a:xfrm>
                      <a:off x="0" y="0"/>
                      <a:ext cx="232410" cy="86106"/>
                    </a:xfrm>
                    <a:prstGeom prst="rect">
                      <a:avLst/>
                    </a:prstGeom>
                  </pic:spPr>
                </pic:pic>
              </a:graphicData>
            </a:graphic>
          </wp:inline>
        </w:drawing>
      </w:r>
      <w:r>
        <w:rPr>
          <w:rFonts w:ascii="Arial" w:eastAsia="Arial" w:hAnsi="Arial" w:cs="Arial"/>
        </w:rPr>
        <w:t xml:space="preserve"> </w:t>
      </w:r>
      <w:r>
        <w:t xml:space="preserve">Tato smlouva nahrazuje veškeré její případné předchozí verze a platí bez ohledu na obsah jakékoliv dřívější jiné nabídky či podobného dokumentu. </w:t>
      </w:r>
    </w:p>
    <w:p w:rsidR="00A618E6" w:rsidRDefault="00FB3BD4">
      <w:pPr>
        <w:spacing w:after="16" w:line="259" w:lineRule="auto"/>
        <w:ind w:left="0" w:right="0" w:firstLine="0"/>
        <w:jc w:val="left"/>
      </w:pPr>
      <w:r>
        <w:t xml:space="preserve"> </w:t>
      </w:r>
    </w:p>
    <w:p w:rsidR="00A618E6" w:rsidRDefault="00FB3BD4">
      <w:pPr>
        <w:spacing w:after="16" w:line="259" w:lineRule="auto"/>
        <w:ind w:left="0" w:right="0" w:firstLine="0"/>
        <w:jc w:val="left"/>
      </w:pPr>
      <w:r>
        <w:t xml:space="preserve"> </w:t>
      </w:r>
    </w:p>
    <w:p w:rsidR="00A618E6" w:rsidRDefault="00FB3BD4">
      <w:pPr>
        <w:pStyle w:val="Nadpis2"/>
        <w:spacing w:after="47"/>
        <w:ind w:left="0" w:right="197"/>
      </w:pPr>
      <w:r>
        <w:t xml:space="preserve">Příloha </w:t>
      </w:r>
    </w:p>
    <w:p w:rsidR="00A618E6" w:rsidRDefault="00FB3BD4">
      <w:pPr>
        <w:tabs>
          <w:tab w:val="center" w:pos="1868"/>
        </w:tabs>
        <w:spacing w:after="8"/>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Seznam dokumentů v </w:t>
      </w:r>
      <w:proofErr w:type="spellStart"/>
      <w:r>
        <w:t>Dataroomu</w:t>
      </w:r>
      <w:proofErr w:type="spellEnd"/>
      <w:r>
        <w:t xml:space="preserve"> </w:t>
      </w:r>
    </w:p>
    <w:p w:rsidR="00A618E6" w:rsidRDefault="00FB3BD4">
      <w:pPr>
        <w:spacing w:after="16" w:line="259" w:lineRule="auto"/>
        <w:ind w:left="0" w:right="0" w:firstLine="0"/>
        <w:jc w:val="left"/>
      </w:pPr>
      <w:r>
        <w:t xml:space="preserve">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V Praze dne </w:t>
      </w:r>
      <w:r w:rsidR="00391611">
        <w:t>26. 9. 2019</w:t>
      </w:r>
      <w:r>
        <w:t xml:space="preserve">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Za </w:t>
      </w:r>
      <w:proofErr w:type="spellStart"/>
      <w:r>
        <w:t>Deloitte</w:t>
      </w:r>
      <w:proofErr w:type="spellEnd"/>
      <w:r>
        <w:t xml:space="preserve"> </w:t>
      </w:r>
      <w:proofErr w:type="spellStart"/>
      <w:r>
        <w:t>Legal</w:t>
      </w:r>
      <w:proofErr w:type="spellEnd"/>
      <w:r>
        <w:t xml:space="preserve"> s.r.o., advokátní kancelář:</w:t>
      </w:r>
      <w:r>
        <w:rPr>
          <w:b/>
        </w:rPr>
        <w:t xml:space="preserve"> </w:t>
      </w:r>
    </w:p>
    <w:p w:rsidR="00A618E6" w:rsidRDefault="00FB3BD4">
      <w:pPr>
        <w:spacing w:after="16" w:line="259" w:lineRule="auto"/>
        <w:ind w:left="0" w:right="0" w:firstLine="0"/>
        <w:jc w:val="left"/>
      </w:pPr>
      <w:r>
        <w:t xml:space="preserve"> </w:t>
      </w:r>
    </w:p>
    <w:p w:rsidR="00A618E6" w:rsidRDefault="00FB3BD4">
      <w:pPr>
        <w:spacing w:after="16" w:line="259" w:lineRule="auto"/>
        <w:ind w:left="0" w:right="0" w:firstLine="0"/>
        <w:jc w:val="left"/>
      </w:pPr>
      <w:r>
        <w:t xml:space="preserve"> </w:t>
      </w:r>
    </w:p>
    <w:p w:rsidR="00A618E6" w:rsidRDefault="00FB3BD4">
      <w:pPr>
        <w:spacing w:after="3" w:line="282" w:lineRule="auto"/>
        <w:ind w:left="-5" w:right="6382" w:hanging="10"/>
        <w:jc w:val="left"/>
      </w:pPr>
      <w:r>
        <w:t xml:space="preserve">______________________________ JUDr. Martin Bohuslav jednatel </w:t>
      </w:r>
    </w:p>
    <w:p w:rsidR="00A618E6" w:rsidRDefault="00FB3BD4">
      <w:pPr>
        <w:spacing w:after="16" w:line="259" w:lineRule="auto"/>
        <w:ind w:left="0" w:right="0" w:firstLine="0"/>
        <w:jc w:val="left"/>
      </w:pPr>
      <w:r>
        <w:lastRenderedPageBreak/>
        <w:t xml:space="preserve">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V</w:t>
      </w:r>
      <w:r w:rsidR="00391611">
        <w:t xml:space="preserve"> Českém Krumlově </w:t>
      </w:r>
      <w:r>
        <w:t xml:space="preserve">dne </w:t>
      </w:r>
      <w:r w:rsidR="00391611">
        <w:t>26. 9. 2019</w:t>
      </w:r>
      <w:r>
        <w:t xml:space="preserve"> </w:t>
      </w:r>
    </w:p>
    <w:p w:rsidR="00A618E6" w:rsidRDefault="00FB3BD4">
      <w:pPr>
        <w:spacing w:after="16" w:line="259" w:lineRule="auto"/>
        <w:ind w:left="0" w:right="0" w:firstLine="0"/>
        <w:jc w:val="left"/>
      </w:pPr>
      <w:r>
        <w:t xml:space="preserve"> </w:t>
      </w:r>
    </w:p>
    <w:p w:rsidR="00A618E6" w:rsidRDefault="00FB3BD4">
      <w:pPr>
        <w:spacing w:after="23"/>
        <w:ind w:left="2" w:right="199" w:firstLine="0"/>
      </w:pPr>
      <w:r>
        <w:t xml:space="preserve">Za Město Český Krumlov </w:t>
      </w:r>
    </w:p>
    <w:p w:rsidR="00A618E6" w:rsidRDefault="00FB3BD4">
      <w:pPr>
        <w:spacing w:after="16" w:line="259" w:lineRule="auto"/>
        <w:ind w:left="0" w:right="0" w:firstLine="0"/>
        <w:jc w:val="left"/>
      </w:pPr>
      <w:r>
        <w:t xml:space="preserve"> </w:t>
      </w:r>
    </w:p>
    <w:p w:rsidR="00A618E6" w:rsidRDefault="00FB3BD4">
      <w:pPr>
        <w:spacing w:after="16" w:line="259" w:lineRule="auto"/>
        <w:ind w:left="0" w:right="0" w:firstLine="0"/>
        <w:jc w:val="left"/>
      </w:pPr>
      <w:r>
        <w:t xml:space="preserve"> </w:t>
      </w:r>
    </w:p>
    <w:p w:rsidR="00A618E6" w:rsidRDefault="00FB3BD4">
      <w:pPr>
        <w:spacing w:after="3" w:line="282" w:lineRule="auto"/>
        <w:ind w:left="-5" w:right="6382" w:hanging="10"/>
        <w:jc w:val="left"/>
      </w:pPr>
      <w:r>
        <w:t xml:space="preserve">______________________________ Mgr. Dalibor Carda, starosta </w:t>
      </w:r>
    </w:p>
    <w:sectPr w:rsidR="00A618E6">
      <w:headerReference w:type="even" r:id="rId56"/>
      <w:headerReference w:type="default" r:id="rId57"/>
      <w:footerReference w:type="even" r:id="rId58"/>
      <w:footerReference w:type="default" r:id="rId59"/>
      <w:headerReference w:type="first" r:id="rId60"/>
      <w:footerReference w:type="first" r:id="rId61"/>
      <w:footnotePr>
        <w:numRestart w:val="eachPage"/>
      </w:footnotePr>
      <w:pgSz w:w="11906" w:h="16838"/>
      <w:pgMar w:top="326" w:right="1034" w:bottom="397" w:left="124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38" w:rsidRDefault="00A75538">
      <w:pPr>
        <w:spacing w:after="0" w:line="240" w:lineRule="auto"/>
      </w:pPr>
      <w:r>
        <w:separator/>
      </w:r>
    </w:p>
  </w:endnote>
  <w:endnote w:type="continuationSeparator" w:id="0">
    <w:p w:rsidR="00A75538" w:rsidRDefault="00A7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FB3BD4">
    <w:pPr>
      <w:spacing w:after="0" w:line="259" w:lineRule="auto"/>
      <w:ind w:left="0" w:right="0" w:firstLine="0"/>
      <w:jc w:val="left"/>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r>
      <w:rPr>
        <w:sz w:val="5"/>
      </w:rPr>
      <w:t xml:space="preserve"> </w:t>
    </w:r>
  </w:p>
  <w:p w:rsidR="00A618E6" w:rsidRDefault="00FB3BD4">
    <w:pPr>
      <w:spacing w:after="0" w:line="259" w:lineRule="auto"/>
      <w:ind w:left="0" w:right="0" w:firstLine="0"/>
      <w:jc w:val="left"/>
    </w:pPr>
    <w:r>
      <w:rPr>
        <w:sz w:val="1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FB3BD4">
    <w:pPr>
      <w:spacing w:after="0" w:line="259" w:lineRule="auto"/>
      <w:ind w:left="0" w:right="0" w:firstLine="0"/>
      <w:jc w:val="left"/>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r>
      <w:rPr>
        <w:sz w:val="5"/>
      </w:rPr>
      <w:t xml:space="preserve"> </w:t>
    </w:r>
  </w:p>
  <w:p w:rsidR="00A618E6" w:rsidRDefault="00FB3BD4">
    <w:pPr>
      <w:spacing w:after="0" w:line="259" w:lineRule="auto"/>
      <w:ind w:left="0" w:right="0" w:firstLine="0"/>
      <w:jc w:val="left"/>
    </w:pPr>
    <w:r>
      <w:rPr>
        <w:sz w:val="1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A618E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38" w:rsidRDefault="00A75538">
      <w:pPr>
        <w:spacing w:after="0" w:line="259" w:lineRule="auto"/>
        <w:ind w:left="0" w:right="0" w:firstLine="0"/>
        <w:jc w:val="left"/>
      </w:pPr>
      <w:r>
        <w:separator/>
      </w:r>
    </w:p>
  </w:footnote>
  <w:footnote w:type="continuationSeparator" w:id="0">
    <w:p w:rsidR="00A75538" w:rsidRDefault="00A75538">
      <w:pPr>
        <w:spacing w:after="0" w:line="259" w:lineRule="auto"/>
        <w:ind w:left="0" w:right="0" w:firstLine="0"/>
        <w:jc w:val="left"/>
      </w:pPr>
      <w:r>
        <w:continuationSeparator/>
      </w:r>
    </w:p>
  </w:footnote>
  <w:footnote w:id="1">
    <w:p w:rsidR="00A618E6" w:rsidRDefault="00FB3BD4">
      <w:pPr>
        <w:pStyle w:val="footnotedescription"/>
      </w:pPr>
      <w:r>
        <w:rPr>
          <w:rStyle w:val="footnotemark"/>
        </w:rPr>
        <w:footnoteRef/>
      </w:r>
      <w:r>
        <w:t xml:space="preserve"> § 347a zákona č. 40/2009 Sb., trestní zákoník,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FB3BD4">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793115</wp:posOffset>
          </wp:positionH>
          <wp:positionV relativeFrom="page">
            <wp:posOffset>360045</wp:posOffset>
          </wp:positionV>
          <wp:extent cx="1165860" cy="539750"/>
          <wp:effectExtent l="0" t="0" r="0" b="0"/>
          <wp:wrapSquare wrapText="bothSides"/>
          <wp:docPr id="1520" name="Picture 1520"/>
          <wp:cNvGraphicFramePr/>
          <a:graphic xmlns:a="http://schemas.openxmlformats.org/drawingml/2006/main">
            <a:graphicData uri="http://schemas.openxmlformats.org/drawingml/2006/picture">
              <pic:pic xmlns:pic="http://schemas.openxmlformats.org/drawingml/2006/picture">
                <pic:nvPicPr>
                  <pic:cNvPr id="1520" name="Picture 1520"/>
                  <pic:cNvPicPr/>
                </pic:nvPicPr>
                <pic:blipFill>
                  <a:blip r:embed="rId1"/>
                  <a:stretch>
                    <a:fillRect/>
                  </a:stretch>
                </pic:blipFill>
                <pic:spPr>
                  <a:xfrm>
                    <a:off x="0" y="0"/>
                    <a:ext cx="1165860" cy="53975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FB3BD4">
    <w:pPr>
      <w:spacing w:after="0"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793115</wp:posOffset>
          </wp:positionH>
          <wp:positionV relativeFrom="page">
            <wp:posOffset>360045</wp:posOffset>
          </wp:positionV>
          <wp:extent cx="1165860" cy="539750"/>
          <wp:effectExtent l="0" t="0" r="0" b="0"/>
          <wp:wrapSquare wrapText="bothSides"/>
          <wp:docPr id="1" name="Picture 1520"/>
          <wp:cNvGraphicFramePr/>
          <a:graphic xmlns:a="http://schemas.openxmlformats.org/drawingml/2006/main">
            <a:graphicData uri="http://schemas.openxmlformats.org/drawingml/2006/picture">
              <pic:pic xmlns:pic="http://schemas.openxmlformats.org/drawingml/2006/picture">
                <pic:nvPicPr>
                  <pic:cNvPr id="1520" name="Picture 1520"/>
                  <pic:cNvPicPr/>
                </pic:nvPicPr>
                <pic:blipFill>
                  <a:blip r:embed="rId1"/>
                  <a:stretch>
                    <a:fillRect/>
                  </a:stretch>
                </pic:blipFill>
                <pic:spPr>
                  <a:xfrm>
                    <a:off x="0" y="0"/>
                    <a:ext cx="1165860" cy="53975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E6" w:rsidRDefault="00A618E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1BA2"/>
    <w:multiLevelType w:val="hybridMultilevel"/>
    <w:tmpl w:val="959299E2"/>
    <w:lvl w:ilvl="0" w:tplc="F38AA8E8">
      <w:start w:val="1"/>
      <w:numFmt w:val="bullet"/>
      <w:lvlText w:val="•"/>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7588280">
      <w:start w:val="1"/>
      <w:numFmt w:val="bullet"/>
      <w:lvlText w:val="o"/>
      <w:lvlJc w:val="left"/>
      <w:pPr>
        <w:ind w:left="16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DEECC09C">
      <w:start w:val="1"/>
      <w:numFmt w:val="bullet"/>
      <w:lvlText w:val="▪"/>
      <w:lvlJc w:val="left"/>
      <w:pPr>
        <w:ind w:left="23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DA128532">
      <w:start w:val="1"/>
      <w:numFmt w:val="bullet"/>
      <w:lvlText w:val="•"/>
      <w:lvlJc w:val="left"/>
      <w:pPr>
        <w:ind w:left="3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C9C2342">
      <w:start w:val="1"/>
      <w:numFmt w:val="bullet"/>
      <w:lvlText w:val="o"/>
      <w:lvlJc w:val="left"/>
      <w:pPr>
        <w:ind w:left="38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0AF4A212">
      <w:start w:val="1"/>
      <w:numFmt w:val="bullet"/>
      <w:lvlText w:val="▪"/>
      <w:lvlJc w:val="left"/>
      <w:pPr>
        <w:ind w:left="45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2E08561E">
      <w:start w:val="1"/>
      <w:numFmt w:val="bullet"/>
      <w:lvlText w:val="•"/>
      <w:lvlJc w:val="left"/>
      <w:pPr>
        <w:ind w:left="5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38E33D8">
      <w:start w:val="1"/>
      <w:numFmt w:val="bullet"/>
      <w:lvlText w:val="o"/>
      <w:lvlJc w:val="left"/>
      <w:pPr>
        <w:ind w:left="59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3A7651E4">
      <w:start w:val="1"/>
      <w:numFmt w:val="bullet"/>
      <w:lvlText w:val="▪"/>
      <w:lvlJc w:val="left"/>
      <w:pPr>
        <w:ind w:left="67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37EC2398"/>
    <w:multiLevelType w:val="hybridMultilevel"/>
    <w:tmpl w:val="80768D7E"/>
    <w:lvl w:ilvl="0" w:tplc="93EA0D64">
      <w:start w:val="1"/>
      <w:numFmt w:val="bullet"/>
      <w:lvlText w:val="•"/>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1680516">
      <w:start w:val="1"/>
      <w:numFmt w:val="bullet"/>
      <w:lvlText w:val="o"/>
      <w:lvlJc w:val="left"/>
      <w:pPr>
        <w:ind w:left="14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B4ABE72">
      <w:start w:val="1"/>
      <w:numFmt w:val="bullet"/>
      <w:lvlText w:val="▪"/>
      <w:lvlJc w:val="left"/>
      <w:pPr>
        <w:ind w:left="21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B77451CE">
      <w:start w:val="1"/>
      <w:numFmt w:val="bullet"/>
      <w:lvlText w:val="•"/>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52A2DE2">
      <w:start w:val="1"/>
      <w:numFmt w:val="bullet"/>
      <w:lvlText w:val="o"/>
      <w:lvlJc w:val="left"/>
      <w:pPr>
        <w:ind w:left="35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AAAD212">
      <w:start w:val="1"/>
      <w:numFmt w:val="bullet"/>
      <w:lvlText w:val="▪"/>
      <w:lvlJc w:val="left"/>
      <w:pPr>
        <w:ind w:left="43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8F94B910">
      <w:start w:val="1"/>
      <w:numFmt w:val="bullet"/>
      <w:lvlText w:val="•"/>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AD6E340">
      <w:start w:val="1"/>
      <w:numFmt w:val="bullet"/>
      <w:lvlText w:val="o"/>
      <w:lvlJc w:val="left"/>
      <w:pPr>
        <w:ind w:left="57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95F204AA">
      <w:start w:val="1"/>
      <w:numFmt w:val="bullet"/>
      <w:lvlText w:val="▪"/>
      <w:lvlJc w:val="left"/>
      <w:pPr>
        <w:ind w:left="64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480121F"/>
    <w:multiLevelType w:val="hybridMultilevel"/>
    <w:tmpl w:val="EA28B12C"/>
    <w:lvl w:ilvl="0" w:tplc="7DA0DF06">
      <w:start w:val="1"/>
      <w:numFmt w:val="lowerLetter"/>
      <w:lvlText w:val="%1)"/>
      <w:lvlJc w:val="left"/>
      <w:pPr>
        <w:ind w:left="71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8410EA52">
      <w:start w:val="1"/>
      <w:numFmt w:val="lowerLetter"/>
      <w:lvlText w:val="%2"/>
      <w:lvlJc w:val="left"/>
      <w:pPr>
        <w:ind w:left="10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E0FE2D0E">
      <w:start w:val="1"/>
      <w:numFmt w:val="lowerRoman"/>
      <w:lvlText w:val="%3"/>
      <w:lvlJc w:val="left"/>
      <w:pPr>
        <w:ind w:left="18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01C64BA8">
      <w:start w:val="1"/>
      <w:numFmt w:val="decimal"/>
      <w:lvlText w:val="%4"/>
      <w:lvlJc w:val="left"/>
      <w:pPr>
        <w:ind w:left="25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E29C038C">
      <w:start w:val="1"/>
      <w:numFmt w:val="lowerLetter"/>
      <w:lvlText w:val="%5"/>
      <w:lvlJc w:val="left"/>
      <w:pPr>
        <w:ind w:left="32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672213E4">
      <w:start w:val="1"/>
      <w:numFmt w:val="lowerRoman"/>
      <w:lvlText w:val="%6"/>
      <w:lvlJc w:val="left"/>
      <w:pPr>
        <w:ind w:left="39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6352CA7C">
      <w:start w:val="1"/>
      <w:numFmt w:val="decimal"/>
      <w:lvlText w:val="%7"/>
      <w:lvlJc w:val="left"/>
      <w:pPr>
        <w:ind w:left="46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8E6676FC">
      <w:start w:val="1"/>
      <w:numFmt w:val="lowerLetter"/>
      <w:lvlText w:val="%8"/>
      <w:lvlJc w:val="left"/>
      <w:pPr>
        <w:ind w:left="54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18A866DA">
      <w:start w:val="1"/>
      <w:numFmt w:val="lowerRoman"/>
      <w:lvlText w:val="%9"/>
      <w:lvlJc w:val="left"/>
      <w:pPr>
        <w:ind w:left="61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570E70FD"/>
    <w:multiLevelType w:val="hybridMultilevel"/>
    <w:tmpl w:val="F526360A"/>
    <w:lvl w:ilvl="0" w:tplc="7D36244A">
      <w:start w:val="1"/>
      <w:numFmt w:val="bullet"/>
      <w:lvlText w:val="•"/>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56CC7E">
      <w:start w:val="1"/>
      <w:numFmt w:val="bullet"/>
      <w:lvlText w:val="o"/>
      <w:lvlJc w:val="left"/>
      <w:pPr>
        <w:ind w:left="17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89E48066">
      <w:start w:val="1"/>
      <w:numFmt w:val="bullet"/>
      <w:lvlText w:val="▪"/>
      <w:lvlJc w:val="left"/>
      <w:pPr>
        <w:ind w:left="25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41D641D4">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6E27EE0">
      <w:start w:val="1"/>
      <w:numFmt w:val="bullet"/>
      <w:lvlText w:val="o"/>
      <w:lvlJc w:val="left"/>
      <w:pPr>
        <w:ind w:left="39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D3EE0CA8">
      <w:start w:val="1"/>
      <w:numFmt w:val="bullet"/>
      <w:lvlText w:val="▪"/>
      <w:lvlJc w:val="left"/>
      <w:pPr>
        <w:ind w:left="46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D972874A">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9BECC64">
      <w:start w:val="1"/>
      <w:numFmt w:val="bullet"/>
      <w:lvlText w:val="o"/>
      <w:lvlJc w:val="left"/>
      <w:pPr>
        <w:ind w:left="61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D5AEEF5E">
      <w:start w:val="1"/>
      <w:numFmt w:val="bullet"/>
      <w:lvlText w:val="▪"/>
      <w:lvlJc w:val="left"/>
      <w:pPr>
        <w:ind w:left="68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79730FD3"/>
    <w:multiLevelType w:val="hybridMultilevel"/>
    <w:tmpl w:val="779C3DC8"/>
    <w:lvl w:ilvl="0" w:tplc="7CFC2D2A">
      <w:start w:val="1"/>
      <w:numFmt w:val="bullet"/>
      <w:lvlText w:val="•"/>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38F9BC">
      <w:start w:val="1"/>
      <w:numFmt w:val="bullet"/>
      <w:lvlText w:val="o"/>
      <w:lvlJc w:val="left"/>
      <w:pPr>
        <w:ind w:left="17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4DE2A90">
      <w:start w:val="1"/>
      <w:numFmt w:val="bullet"/>
      <w:lvlText w:val="▪"/>
      <w:lvlJc w:val="left"/>
      <w:pPr>
        <w:ind w:left="25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2A8C8A38">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03AB3AC">
      <w:start w:val="1"/>
      <w:numFmt w:val="bullet"/>
      <w:lvlText w:val="o"/>
      <w:lvlJc w:val="left"/>
      <w:pPr>
        <w:ind w:left="39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69323D96">
      <w:start w:val="1"/>
      <w:numFmt w:val="bullet"/>
      <w:lvlText w:val="▪"/>
      <w:lvlJc w:val="left"/>
      <w:pPr>
        <w:ind w:left="46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2166A1E0">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44D186">
      <w:start w:val="1"/>
      <w:numFmt w:val="bullet"/>
      <w:lvlText w:val="o"/>
      <w:lvlJc w:val="left"/>
      <w:pPr>
        <w:ind w:left="61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986AB47C">
      <w:start w:val="1"/>
      <w:numFmt w:val="bullet"/>
      <w:lvlText w:val="▪"/>
      <w:lvlJc w:val="left"/>
      <w:pPr>
        <w:ind w:left="68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E6"/>
    <w:rsid w:val="00391611"/>
    <w:rsid w:val="00A618E6"/>
    <w:rsid w:val="00A75538"/>
    <w:rsid w:val="00D675B2"/>
    <w:rsid w:val="00FB3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5FDCCD4"/>
  <w15:docId w15:val="{F9424658-7705-6146-81BD-0DC2428D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135" w:line="249" w:lineRule="auto"/>
      <w:ind w:left="714" w:right="1738" w:hanging="714"/>
      <w:jc w:val="both"/>
    </w:pPr>
    <w:rPr>
      <w:rFonts w:ascii="Verdana" w:eastAsia="Verdana" w:hAnsi="Verdana" w:cs="Verdana"/>
      <w:color w:val="000000"/>
      <w:sz w:val="17"/>
      <w:lang w:bidi="cs-CZ"/>
    </w:rPr>
  </w:style>
  <w:style w:type="paragraph" w:styleId="Nadpis1">
    <w:name w:val="heading 1"/>
    <w:next w:val="Normln"/>
    <w:link w:val="Nadpis1Char"/>
    <w:uiPriority w:val="9"/>
    <w:qFormat/>
    <w:pPr>
      <w:keepNext/>
      <w:keepLines/>
      <w:spacing w:line="259" w:lineRule="auto"/>
      <w:outlineLvl w:val="0"/>
    </w:pPr>
    <w:rPr>
      <w:rFonts w:ascii="Verdana" w:eastAsia="Verdana" w:hAnsi="Verdana" w:cs="Verdana"/>
      <w:b/>
      <w:color w:val="000000"/>
      <w:sz w:val="22"/>
    </w:rPr>
  </w:style>
  <w:style w:type="paragraph" w:styleId="Nadpis2">
    <w:name w:val="heading 2"/>
    <w:next w:val="Normln"/>
    <w:link w:val="Nadpis2Char"/>
    <w:uiPriority w:val="9"/>
    <w:unhideWhenUsed/>
    <w:qFormat/>
    <w:pPr>
      <w:keepNext/>
      <w:keepLines/>
      <w:spacing w:after="135" w:line="249" w:lineRule="auto"/>
      <w:ind w:left="10" w:hanging="10"/>
      <w:jc w:val="both"/>
      <w:outlineLvl w:val="1"/>
    </w:pPr>
    <w:rPr>
      <w:rFonts w:ascii="Verdana" w:eastAsia="Verdana" w:hAnsi="Verdana" w:cs="Verdana"/>
      <w:b/>
      <w:color w:val="000000"/>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Verdana" w:eastAsia="Verdana" w:hAnsi="Verdana" w:cs="Verdana"/>
      <w:b/>
      <w:color w:val="000000"/>
      <w:sz w:val="22"/>
    </w:rPr>
  </w:style>
  <w:style w:type="paragraph" w:customStyle="1" w:styleId="footnotedescription">
    <w:name w:val="footnote description"/>
    <w:next w:val="Normln"/>
    <w:link w:val="footnotedescriptionChar"/>
    <w:hidden/>
    <w:pPr>
      <w:spacing w:line="259" w:lineRule="auto"/>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Nadpis2Char">
    <w:name w:val="Nadpis 2 Char"/>
    <w:link w:val="Nadpis2"/>
    <w:rPr>
      <w:rFonts w:ascii="Verdana" w:eastAsia="Verdana" w:hAnsi="Verdana" w:cs="Verdana"/>
      <w:b/>
      <w:color w:val="000000"/>
      <w:sz w:val="17"/>
    </w:rPr>
  </w:style>
  <w:style w:type="character" w:customStyle="1" w:styleId="footnotemark">
    <w:name w:val="footnote mark"/>
    <w:hidden/>
    <w:rPr>
      <w:rFonts w:ascii="Verdana" w:eastAsia="Verdana" w:hAnsi="Verdana" w:cs="Verdana"/>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1.xml"/><Relationship Id="rId8" Type="http://schemas.openxmlformats.org/officeDocument/2006/relationships/image" Target="media/image0.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4106</Words>
  <Characters>24228</Characters>
  <Application>Microsoft Office Word</Application>
  <DocSecurity>0</DocSecurity>
  <Lines>201</Lines>
  <Paragraphs>56</Paragraphs>
  <ScaleCrop>false</ScaleCrop>
  <Company>Město Český Krumlov</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Deloitte</dc:creator>
  <cp:keywords/>
  <cp:lastModifiedBy>Radim Rouče</cp:lastModifiedBy>
  <cp:revision>3</cp:revision>
  <dcterms:created xsi:type="dcterms:W3CDTF">2019-10-07T11:48:00Z</dcterms:created>
  <dcterms:modified xsi:type="dcterms:W3CDTF">2019-10-07T11:52:00Z</dcterms:modified>
</cp:coreProperties>
</file>